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FE5" w14:textId="77777777" w:rsidR="00F26B9D" w:rsidRPr="004518B7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ПРОЕКТ</w:t>
      </w:r>
    </w:p>
    <w:p w14:paraId="476FCCC2" w14:textId="348212F4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B010E" w14:textId="77777777" w:rsidR="00516F2A" w:rsidRPr="00B13400" w:rsidRDefault="00516F2A" w:rsidP="00516F2A">
      <w:pPr>
        <w:pStyle w:val="ConsPlusNormal"/>
        <w:jc w:val="center"/>
        <w:rPr>
          <w:rFonts w:eastAsia="Symbol"/>
          <w:b/>
          <w:szCs w:val="28"/>
          <w:u w:val="single"/>
        </w:rPr>
      </w:pPr>
      <w:r w:rsidRPr="00B13400">
        <w:rPr>
          <w:rFonts w:eastAsia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340A" wp14:editId="0AE547AA">
                <wp:simplePos x="0" y="0"/>
                <wp:positionH relativeFrom="column">
                  <wp:posOffset>3314700</wp:posOffset>
                </wp:positionH>
                <wp:positionV relativeFrom="paragraph">
                  <wp:posOffset>-478790</wp:posOffset>
                </wp:positionV>
                <wp:extent cx="2983865" cy="991870"/>
                <wp:effectExtent l="0" t="0" r="6985" b="0"/>
                <wp:wrapSquare wrapText="bothSides"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3379" w14:textId="77777777" w:rsidR="00DB6E86" w:rsidRPr="00B13400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Утверждена   </w:t>
                            </w:r>
                          </w:p>
                          <w:p w14:paraId="74F26A84" w14:textId="77777777" w:rsidR="00DB6E86" w:rsidRPr="00B13400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  </w:t>
                            </w:r>
                          </w:p>
                          <w:p w14:paraId="12ED47B0" w14:textId="77777777" w:rsidR="00DB6E86" w:rsidRPr="00B13400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округа Люберцы   </w:t>
                            </w:r>
                          </w:p>
                          <w:p w14:paraId="33E3D679" w14:textId="77777777" w:rsidR="00DB6E86" w:rsidRPr="00B13400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4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 № ____________</w:t>
                            </w:r>
                          </w:p>
                          <w:p w14:paraId="46A7A7E3" w14:textId="77777777" w:rsidR="00DB6E86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E097B1" w14:textId="77777777" w:rsidR="00DB6E86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82E2D" w14:textId="77777777" w:rsidR="00DB6E86" w:rsidRDefault="00DB6E86" w:rsidP="00516F2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34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1pt;margin-top:-37.7pt;width:234.95pt;height: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" stroked="f">
                <v:textbox>
                  <w:txbxContent>
                    <w:p w14:paraId="39FB3379" w14:textId="77777777" w:rsidR="00DB6E86" w:rsidRPr="00B13400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Утверждена   </w:t>
                      </w:r>
                    </w:p>
                    <w:p w14:paraId="74F26A84" w14:textId="77777777" w:rsidR="00DB6E86" w:rsidRPr="00B13400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  </w:t>
                      </w:r>
                    </w:p>
                    <w:p w14:paraId="12ED47B0" w14:textId="77777777" w:rsidR="00DB6E86" w:rsidRPr="00B13400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округа Люберцы   </w:t>
                      </w:r>
                    </w:p>
                    <w:p w14:paraId="33E3D679" w14:textId="77777777" w:rsidR="00DB6E86" w:rsidRPr="00B13400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4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 № ____________</w:t>
                      </w:r>
                    </w:p>
                    <w:p w14:paraId="46A7A7E3" w14:textId="77777777" w:rsidR="00DB6E86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8E097B1" w14:textId="77777777" w:rsidR="00DB6E86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B282E2D" w14:textId="77777777" w:rsidR="00DB6E86" w:rsidRDefault="00DB6E86" w:rsidP="00516F2A">
                      <w:pPr>
                        <w:spacing w:after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45039" w14:textId="77777777" w:rsidR="00516F2A" w:rsidRDefault="00516F2A" w:rsidP="00516F2A">
      <w:pPr>
        <w:pStyle w:val="ConsPlusNormal"/>
        <w:jc w:val="center"/>
        <w:rPr>
          <w:rFonts w:eastAsia="Symbol"/>
          <w:b/>
          <w:szCs w:val="28"/>
          <w:u w:val="single"/>
        </w:rPr>
      </w:pPr>
    </w:p>
    <w:p w14:paraId="07C68842" w14:textId="77777777" w:rsidR="00516F2A" w:rsidRDefault="00516F2A" w:rsidP="00516F2A">
      <w:pPr>
        <w:pStyle w:val="2"/>
      </w:pPr>
    </w:p>
    <w:p w14:paraId="6665EE84" w14:textId="77777777" w:rsidR="00516F2A" w:rsidRDefault="00516F2A" w:rsidP="00516F2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55300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на 2023 год в сфере м</w:t>
      </w:r>
      <w:r w:rsidRPr="00755300">
        <w:rPr>
          <w:rFonts w:ascii="Times New Roman" w:hAnsi="Times New Roman"/>
          <w:b/>
          <w:sz w:val="28"/>
          <w:szCs w:val="28"/>
        </w:rPr>
        <w:t>униципального  земельного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в границах городского округа Люберцы Московской области</w:t>
      </w:r>
    </w:p>
    <w:p w14:paraId="73C3AB18" w14:textId="7D1DE8DD" w:rsidR="008E41D9" w:rsidRPr="004518B7" w:rsidRDefault="008E41D9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662FDF46" w:rsidR="0082037E" w:rsidRPr="004518B7" w:rsidRDefault="001965A5" w:rsidP="00516F2A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037E" w:rsidRPr="004518B7">
              <w:rPr>
                <w:sz w:val="24"/>
              </w:rPr>
              <w:t xml:space="preserve">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516F2A">
              <w:rPr>
                <w:sz w:val="24"/>
              </w:rPr>
              <w:t>в сфере муниципального земельного контроля</w:t>
            </w:r>
            <w:r w:rsidR="00DA66DB" w:rsidRPr="004518B7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4518B7">
              <w:rPr>
                <w:color w:val="000000" w:themeColor="text1"/>
                <w:sz w:val="24"/>
              </w:rPr>
              <w:t>2023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0086E170" w:rsidR="0082037E" w:rsidRPr="004518B7" w:rsidRDefault="00516F2A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516F2A">
              <w:rPr>
                <w:sz w:val="24"/>
              </w:rPr>
              <w:t>Отдел земельного контроля Администрации городского округа Люберцы Московской области</w:t>
            </w:r>
            <w:r w:rsidR="00D30A43" w:rsidRPr="00516F2A">
              <w:rPr>
                <w:i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0DB5330D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516F2A">
        <w:rPr>
          <w:rFonts w:ascii="Times New Roman" w:eastAsia="Times New Roman" w:hAnsi="Times New Roman"/>
          <w:sz w:val="28"/>
          <w:szCs w:val="28"/>
          <w:lang w:eastAsia="x-none"/>
        </w:rPr>
        <w:t>около 40 нарушений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41DE8662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городского округа </w:t>
      </w:r>
      <w:r w:rsidR="00516F2A">
        <w:rPr>
          <w:rFonts w:ascii="Times New Roman" w:eastAsia="Times New Roman" w:hAnsi="Times New Roman"/>
          <w:sz w:val="28"/>
          <w:szCs w:val="28"/>
          <w:lang w:eastAsia="x-none"/>
        </w:rPr>
        <w:t xml:space="preserve">Люберцы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80209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="00DA5CB2">
        <w:rPr>
          <w:rFonts w:ascii="Times New Roman" w:eastAsia="Times New Roman" w:hAnsi="Times New Roman"/>
          <w:sz w:val="28"/>
          <w:szCs w:val="28"/>
          <w:lang w:eastAsia="x-none"/>
        </w:rPr>
        <w:t xml:space="preserve">Люберцы </w:t>
      </w:r>
      <w:proofErr w:type="spellStart"/>
      <w:r w:rsidR="00DA5CB2">
        <w:rPr>
          <w:rFonts w:ascii="Times New Roman" w:eastAsia="Times New Roman" w:hAnsi="Times New Roman"/>
          <w:sz w:val="28"/>
          <w:szCs w:val="28"/>
          <w:lang w:eastAsia="x-none"/>
        </w:rPr>
        <w:t>рф</w:t>
      </w:r>
      <w:proofErr w:type="spellEnd"/>
      <w:r w:rsidR="00C80209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7AF4215D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</w:t>
      </w:r>
      <w:r w:rsidR="001965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требований);</w:t>
      </w:r>
    </w:p>
    <w:p w14:paraId="2E793167" w14:textId="497C5FA5" w:rsidR="00874BE3" w:rsidRPr="00663093" w:rsidRDefault="001965A5" w:rsidP="001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2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C87CAE" w:rsidRPr="00C87CAE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Об утверждении Положения о муниципальном земельном контроле на территории городского округа Люберцы Московской области</w:t>
      </w:r>
      <w:r w:rsidR="00C87CAE" w:rsidRPr="00C87CAE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http://люберцы.рф/content/ob-utverzhdenii-polozheniya-o-municipalnom-zemelnom-kontrole-na-territorii-gorodskogo-okruga</w:t>
      </w:r>
      <w:r w:rsidR="00C87CAE" w:rsidRPr="00BC5336">
        <w:rPr>
          <w:rFonts w:ascii="Times New Roman" w:eastAsia="Times New Roman" w:hAnsi="Times New Roman"/>
          <w:sz w:val="28"/>
          <w:szCs w:val="28"/>
          <w:lang w:eastAsia="x-none"/>
        </w:rPr>
        <w:t xml:space="preserve">; 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 http://люберцы.рф/content/ob-utverzhdenii-indikatorov-riska-narusheniya-obyazatelnyh-trebovaniy-ispolzuemyh-dlya;</w:t>
      </w:r>
      <w:r w:rsidR="00BC5336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Об утверждении ключевых показателей, их целевых значений и индикативных показателей муниципального земельного контроля</w:t>
      </w:r>
      <w:r w:rsidR="00C87CAE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http://люберцы.рф/content/ob-utverzhdenii-klyuchevyh-pokazateley-ih-celevyh-znacheniy-i-indikativnyh-pokazateley</w:t>
      </w:r>
      <w:r w:rsidR="00BC5336" w:rsidRPr="00BC5336">
        <w:rPr>
          <w:rFonts w:ascii="Times New Roman" w:eastAsia="Times New Roman" w:hAnsi="Times New Roman"/>
          <w:i/>
          <w:sz w:val="28"/>
          <w:szCs w:val="28"/>
          <w:lang w:eastAsia="x-none"/>
        </w:rPr>
        <w:t>; О внесении изменений в Положение о муниципальном земельном контроле на территории городского округа Люберцы Московской области http://люберцы.рф/content/o-vnesenii-izmeneniy-v-polozhenie-o-municipalnom-zemelnom-kontrole-na-territorii-gorodskogo</w:t>
      </w:r>
      <w:r w:rsidR="00E93882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; 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eastAsia="x-none"/>
        </w:rPr>
        <w:t>Об утверждении типовых форм документов, используемых контрольным органом при осуществлении муниципального земельного контроля на территории городского округа Люберцы Московской области</w:t>
      </w:r>
      <w:r w:rsidR="00E93882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eastAsia="x-none"/>
        </w:rPr>
        <w:t>http://люберцы.рф/content/ob-utverzhdenii-tipovyh-form-dokumentov-ispolzuemyh-kontrolnym-organom-pri-osushchestvlenii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39F7D694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Об утверждении форм проверочных листов, применяемых при осуществлении администрацией городского округа Люберцы Московской области муниципального земельного контроля по видам разрешенного использования</w:t>
      </w:r>
      <w:r w:rsidR="00E93882" w:rsidRPr="00E93882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http://люберцы.рф/content/ob-utverzhdenii-form-proverochnyh-listov-primenyaemyh-pri-osushchestvlenii-administraciey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0F5F077" w14:textId="169350EE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7525AE72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актов) 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39670964" w14:textId="590C428B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(90%);</w:t>
      </w:r>
    </w:p>
    <w:p w14:paraId="5BC31A14" w14:textId="1A44B624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не достигнут и составил 80% от запланированного (90%); </w:t>
      </w:r>
    </w:p>
    <w:p w14:paraId="66CC58AA" w14:textId="41A240FA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не достигнут и составил 70% от запланированного (90%);</w:t>
      </w:r>
    </w:p>
    <w:p w14:paraId="48726512" w14:textId="045DA800" w:rsidR="00F1220C" w:rsidRPr="00DA5CB2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DA5CB2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484CC986" w14:textId="45C67F3B" w:rsidR="00B9674A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B9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составила 88%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="00B9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«плановый уровень».</w:t>
      </w:r>
    </w:p>
    <w:p w14:paraId="5293FD31" w14:textId="3D0247C2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35A90898" w:rsidR="00610A12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требований всеми контролируемыми лицами.</w:t>
      </w:r>
    </w:p>
    <w:p w14:paraId="57783B4A" w14:textId="00620ACC" w:rsidR="00610A12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-у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3CDF806F" w:rsidR="00626400" w:rsidRPr="004518B7" w:rsidRDefault="00DC5659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215512A2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DC565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2CAB8061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4A68D657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2F39DED" w14:textId="77777777" w:rsidR="00B16AD9" w:rsidRDefault="00B16AD9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7141AA44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</w:t>
      </w:r>
      <w:r w:rsidR="001965A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15911C02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675B69AF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6B4B0D37" w:rsidR="00701EB7" w:rsidRPr="004518B7" w:rsidRDefault="00DC5659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Pr="00EA7E2C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3"/>
          <w:footerReference w:type="default" r:id="rId3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508FEBB8" w:rsidR="00BC718A" w:rsidRPr="004518B7" w:rsidRDefault="00DB6E86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C718A" w:rsidRPr="004518B7">
        <w:rPr>
          <w:rFonts w:ascii="Times New Roman" w:hAnsi="Times New Roman"/>
          <w:sz w:val="26"/>
          <w:szCs w:val="26"/>
        </w:rPr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677"/>
        <w:gridCol w:w="2977"/>
        <w:gridCol w:w="1701"/>
        <w:gridCol w:w="1985"/>
        <w:gridCol w:w="1842"/>
      </w:tblGrid>
      <w:tr w:rsidR="00712123" w:rsidRPr="004518B7" w14:paraId="6BD50716" w14:textId="77777777" w:rsidTr="00DB6E86">
        <w:tc>
          <w:tcPr>
            <w:tcW w:w="153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8674CCE" w14:textId="4EC78B4D" w:rsidR="00712123" w:rsidRDefault="00DC5659" w:rsidP="00DC5659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</w:t>
            </w:r>
            <w:r w:rsidR="00DB6E86">
              <w:rPr>
                <w:rFonts w:ascii="Times New Roman" w:eastAsia="Times New Roman" w:hAnsi="Times New Roman"/>
                <w:b/>
                <w:sz w:val="24"/>
              </w:rPr>
              <w:t xml:space="preserve">  Мероприятия 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Содержание мероприятия                               Сроки                     Результат</w:t>
            </w:r>
            <w:r w:rsidR="00DB6E86">
              <w:rPr>
                <w:rFonts w:ascii="Times New Roman" w:eastAsia="Times New Roman" w:hAnsi="Times New Roman"/>
                <w:b/>
                <w:sz w:val="24"/>
              </w:rPr>
              <w:t xml:space="preserve">                Субъект           Ответственный      </w:t>
            </w:r>
          </w:p>
          <w:p w14:paraId="079C0E8C" w14:textId="31915F7D" w:rsidR="00DB6E86" w:rsidRDefault="00DB6E86" w:rsidP="00DC5659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профилактического     исполнитель</w:t>
            </w:r>
          </w:p>
          <w:p w14:paraId="2E0408DE" w14:textId="2D8034DB" w:rsidR="00DB6E86" w:rsidRPr="004518B7" w:rsidRDefault="00DB6E86" w:rsidP="00DB6E86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мероприятия</w:t>
            </w:r>
          </w:p>
        </w:tc>
      </w:tr>
      <w:tr w:rsidR="00896746" w:rsidRPr="004518B7" w14:paraId="28957060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46FE4A2A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0D7CEE8B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7903B94B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0D9F83F6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1EE8706D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27F5FF47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562DDAF1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72AA6312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3835251F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6652F3C4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69DDDA5F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2265E411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7F0F4C9E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1E9A2F6D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08FB4F00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025AE108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2C126162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787C5A19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582EB0C9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5B22DCF2" w14:textId="77777777" w:rsidTr="007706DB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1240F41A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77868345" w14:textId="77777777" w:rsidTr="007706DB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60E13E31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04233511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3C1BD935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48BC9A0B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1368A651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4518B7" w14:paraId="0A696184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30C11FA8" w:rsidR="00896746" w:rsidRPr="004518B7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  <w:tr w:rsidR="00896746" w:rsidRPr="00EC0F4F" w14:paraId="5FB8BFA9" w14:textId="77777777" w:rsidTr="007706D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7BE84CA4" w:rsidR="00896746" w:rsidRPr="00194AE0" w:rsidRDefault="00B16AD9" w:rsidP="00B16AD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Начальник отдела земельного контроля Савинкова В.И.,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отдела земельного контроля Кустарев А.И.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5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4A2E" w14:textId="77777777" w:rsidR="00DB6E86" w:rsidRDefault="00DB6E86" w:rsidP="008E41D9">
      <w:pPr>
        <w:spacing w:after="0" w:line="240" w:lineRule="auto"/>
      </w:pPr>
      <w:r>
        <w:separator/>
      </w:r>
    </w:p>
  </w:endnote>
  <w:endnote w:type="continuationSeparator" w:id="0">
    <w:p w14:paraId="412B3E76" w14:textId="77777777" w:rsidR="00DB6E86" w:rsidRDefault="00DB6E86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26C" w14:textId="77777777" w:rsidR="00DB6E86" w:rsidRDefault="00DB6E86">
    <w:pPr>
      <w:pStyle w:val="a8"/>
      <w:jc w:val="center"/>
    </w:pPr>
  </w:p>
  <w:p w14:paraId="5A1D5428" w14:textId="77777777" w:rsidR="00DB6E86" w:rsidRDefault="00DB6E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68C" w14:textId="77777777" w:rsidR="00DB6E86" w:rsidRDefault="00DB6E86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DB6E86" w:rsidRDefault="00DB6E86">
    <w:pPr>
      <w:pStyle w:val="a8"/>
      <w:jc w:val="center"/>
    </w:pPr>
  </w:p>
  <w:p w14:paraId="5EEDDDA0" w14:textId="77777777" w:rsidR="00DB6E86" w:rsidRDefault="00DB6E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38F9" w14:textId="77777777" w:rsidR="00DB6E86" w:rsidRDefault="00DB6E86" w:rsidP="008E41D9">
      <w:pPr>
        <w:spacing w:after="0" w:line="240" w:lineRule="auto"/>
      </w:pPr>
      <w:r>
        <w:separator/>
      </w:r>
    </w:p>
  </w:footnote>
  <w:footnote w:type="continuationSeparator" w:id="0">
    <w:p w14:paraId="2A2B576E" w14:textId="77777777" w:rsidR="00DB6E86" w:rsidRDefault="00DB6E86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CBC" w14:textId="77777777" w:rsidR="00DB6E86" w:rsidRDefault="00DB6E86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8E2" w14:textId="77777777" w:rsidR="00DB6E86" w:rsidRDefault="00DB6E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F4B" w14:textId="77777777" w:rsidR="00DB6E86" w:rsidRDefault="00DB6E86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5354146">
    <w:abstractNumId w:val="4"/>
  </w:num>
  <w:num w:numId="2" w16cid:durableId="1297024104">
    <w:abstractNumId w:val="10"/>
  </w:num>
  <w:num w:numId="3" w16cid:durableId="1816603636">
    <w:abstractNumId w:val="11"/>
  </w:num>
  <w:num w:numId="4" w16cid:durableId="517230660">
    <w:abstractNumId w:val="3"/>
  </w:num>
  <w:num w:numId="5" w16cid:durableId="33892912">
    <w:abstractNumId w:val="6"/>
  </w:num>
  <w:num w:numId="6" w16cid:durableId="46684586">
    <w:abstractNumId w:val="2"/>
  </w:num>
  <w:num w:numId="7" w16cid:durableId="2115443849">
    <w:abstractNumId w:val="1"/>
  </w:num>
  <w:num w:numId="8" w16cid:durableId="2129662717">
    <w:abstractNumId w:val="14"/>
  </w:num>
  <w:num w:numId="9" w16cid:durableId="2041205894">
    <w:abstractNumId w:val="12"/>
  </w:num>
  <w:num w:numId="10" w16cid:durableId="584847858">
    <w:abstractNumId w:val="13"/>
  </w:num>
  <w:num w:numId="11" w16cid:durableId="55860516">
    <w:abstractNumId w:val="0"/>
  </w:num>
  <w:num w:numId="12" w16cid:durableId="466363830">
    <w:abstractNumId w:val="7"/>
  </w:num>
  <w:num w:numId="13" w16cid:durableId="1271662152">
    <w:abstractNumId w:val="15"/>
  </w:num>
  <w:num w:numId="14" w16cid:durableId="1019549731">
    <w:abstractNumId w:val="16"/>
  </w:num>
  <w:num w:numId="15" w16cid:durableId="986083903">
    <w:abstractNumId w:val="5"/>
  </w:num>
  <w:num w:numId="16" w16cid:durableId="217281322">
    <w:abstractNumId w:val="9"/>
  </w:num>
  <w:num w:numId="17" w16cid:durableId="15119178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1DB8"/>
    <w:rsid w:val="0019336A"/>
    <w:rsid w:val="00194AE0"/>
    <w:rsid w:val="001965A5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0E38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6767"/>
    <w:rsid w:val="004F7E8E"/>
    <w:rsid w:val="00502947"/>
    <w:rsid w:val="0051200D"/>
    <w:rsid w:val="00515A92"/>
    <w:rsid w:val="00516F2A"/>
    <w:rsid w:val="00524D78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63093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06DB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1A59"/>
    <w:rsid w:val="00B1682A"/>
    <w:rsid w:val="00B16AD9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9674A"/>
    <w:rsid w:val="00BA5B2B"/>
    <w:rsid w:val="00BA6D6D"/>
    <w:rsid w:val="00BC17DA"/>
    <w:rsid w:val="00BC4258"/>
    <w:rsid w:val="00BC5336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0209"/>
    <w:rsid w:val="00C82CC0"/>
    <w:rsid w:val="00C8308C"/>
    <w:rsid w:val="00C84870"/>
    <w:rsid w:val="00C8699D"/>
    <w:rsid w:val="00C87CAE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5443"/>
    <w:rsid w:val="00D76FAF"/>
    <w:rsid w:val="00D829B9"/>
    <w:rsid w:val="00D83245"/>
    <w:rsid w:val="00D84B51"/>
    <w:rsid w:val="00D90516"/>
    <w:rsid w:val="00DA3EBD"/>
    <w:rsid w:val="00DA54F0"/>
    <w:rsid w:val="00DA5CB2"/>
    <w:rsid w:val="00DA5EFD"/>
    <w:rsid w:val="00DA66DB"/>
    <w:rsid w:val="00DB01CF"/>
    <w:rsid w:val="00DB6956"/>
    <w:rsid w:val="00DB6A95"/>
    <w:rsid w:val="00DB6E86"/>
    <w:rsid w:val="00DB7660"/>
    <w:rsid w:val="00DC0A26"/>
    <w:rsid w:val="00DC212B"/>
    <w:rsid w:val="00DC5659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882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806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00A56"/>
  <w15:docId w15:val="{5ED64DA5-D8F6-8E4D-91FF-8FC239C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image" Target="media/image3.wmf" /><Relationship Id="rId18" Type="http://schemas.openxmlformats.org/officeDocument/2006/relationships/image" Target="media/image8.wmf" /><Relationship Id="rId26" Type="http://schemas.openxmlformats.org/officeDocument/2006/relationships/image" Target="media/image16.wmf" /><Relationship Id="rId3" Type="http://schemas.openxmlformats.org/officeDocument/2006/relationships/styles" Target="styles.xml" /><Relationship Id="rId21" Type="http://schemas.openxmlformats.org/officeDocument/2006/relationships/image" Target="media/image11.wmf" /><Relationship Id="rId34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2.wmf" /><Relationship Id="rId17" Type="http://schemas.openxmlformats.org/officeDocument/2006/relationships/image" Target="media/image7.wmf" /><Relationship Id="rId25" Type="http://schemas.openxmlformats.org/officeDocument/2006/relationships/image" Target="media/image15.wmf" /><Relationship Id="rId33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image" Target="media/image6.wmf" /><Relationship Id="rId20" Type="http://schemas.openxmlformats.org/officeDocument/2006/relationships/image" Target="media/image10.wmf" /><Relationship Id="rId29" Type="http://schemas.openxmlformats.org/officeDocument/2006/relationships/image" Target="media/image19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wmf" /><Relationship Id="rId24" Type="http://schemas.openxmlformats.org/officeDocument/2006/relationships/image" Target="media/image14.wmf" /><Relationship Id="rId32" Type="http://schemas.openxmlformats.org/officeDocument/2006/relationships/image" Target="media/image22.wmf" /><Relationship Id="rId37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5.wmf" /><Relationship Id="rId23" Type="http://schemas.openxmlformats.org/officeDocument/2006/relationships/image" Target="media/image13.wmf" /><Relationship Id="rId28" Type="http://schemas.openxmlformats.org/officeDocument/2006/relationships/image" Target="media/image18.wmf" /><Relationship Id="rId36" Type="http://schemas.openxmlformats.org/officeDocument/2006/relationships/fontTable" Target="fontTable.xml" /><Relationship Id="rId10" Type="http://schemas.openxmlformats.org/officeDocument/2006/relationships/footer" Target="footer2.xml" /><Relationship Id="rId19" Type="http://schemas.openxmlformats.org/officeDocument/2006/relationships/image" Target="media/image9.wmf" /><Relationship Id="rId31" Type="http://schemas.openxmlformats.org/officeDocument/2006/relationships/image" Target="media/image21.wmf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image" Target="media/image4.wmf" /><Relationship Id="rId22" Type="http://schemas.openxmlformats.org/officeDocument/2006/relationships/image" Target="media/image12.wmf" /><Relationship Id="rId27" Type="http://schemas.openxmlformats.org/officeDocument/2006/relationships/image" Target="media/image17.wmf" /><Relationship Id="rId30" Type="http://schemas.openxmlformats.org/officeDocument/2006/relationships/image" Target="media/image20.wmf" /><Relationship Id="rId35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841D-7659-4E54-8E06-400619F87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79269593565</cp:lastModifiedBy>
  <cp:revision>2</cp:revision>
  <cp:lastPrinted>2018-12-17T11:44:00Z</cp:lastPrinted>
  <dcterms:created xsi:type="dcterms:W3CDTF">2022-10-06T12:05:00Z</dcterms:created>
  <dcterms:modified xsi:type="dcterms:W3CDTF">2022-10-06T12:05:00Z</dcterms:modified>
</cp:coreProperties>
</file>