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BD" w:rsidRPr="00E12ABD" w:rsidRDefault="00E12ABD" w:rsidP="00E12ABD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BD" w:rsidRPr="00E12ABD" w:rsidRDefault="00E12ABD" w:rsidP="00E12ABD">
      <w:pPr>
        <w:ind w:left="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E12ABD" w:rsidRPr="00E12ABD" w:rsidRDefault="00E12ABD" w:rsidP="00E12ABD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E12ABD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E12ABD" w:rsidRPr="00E12ABD" w:rsidRDefault="00E12ABD" w:rsidP="00E12ABD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E12ABD" w:rsidRPr="00E12ABD" w:rsidRDefault="00E12ABD" w:rsidP="00E12ABD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12AB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E12ABD" w:rsidRPr="00E12ABD" w:rsidRDefault="00E12ABD" w:rsidP="00E12ABD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12AB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12ABD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E12AB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E12ABD" w:rsidRPr="00E12ABD" w:rsidRDefault="00E12ABD" w:rsidP="00E12ABD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E12ABD" w:rsidRPr="00E12ABD" w:rsidRDefault="00E12ABD" w:rsidP="00E12ABD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E12ABD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E12ABD" w:rsidRPr="00E12ABD" w:rsidRDefault="00E12ABD" w:rsidP="00E12ABD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BD" w:rsidRPr="00E702EA" w:rsidRDefault="00E12ABD" w:rsidP="00E12ABD">
      <w:pPr>
        <w:tabs>
          <w:tab w:val="left" w:pos="9072"/>
        </w:tabs>
        <w:ind w:left="0" w:right="-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02EA" w:rsidRPr="00E70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</w:t>
      </w:r>
      <w:r w:rsidRPr="00E7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E7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0EB6" w:rsidRPr="00E702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966-ПА</w:t>
      </w:r>
    </w:p>
    <w:p w:rsidR="00E12ABD" w:rsidRPr="00E12ABD" w:rsidRDefault="00E12ABD" w:rsidP="00E12AB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ABD" w:rsidRPr="00E12ABD" w:rsidRDefault="00E12ABD" w:rsidP="00E12ABD">
      <w:pPr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2ABD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8F547D" w:rsidRDefault="008F547D" w:rsidP="008F547D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CA145C" w:rsidRDefault="00CA145C" w:rsidP="00880EB6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880EB6" w:rsidRPr="00880EB6" w:rsidRDefault="00880EB6" w:rsidP="00880EB6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880EB6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CA145C" w:rsidRDefault="00880EB6" w:rsidP="00880EB6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880EB6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«</w:t>
      </w:r>
      <w:r w:rsidR="00CA145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Архитектура и градостроительство на территории муниципального образования</w:t>
      </w:r>
      <w:r w:rsidRPr="00880EB6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 w:rsidR="00CA145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й округ</w:t>
      </w:r>
      <w:r w:rsidRPr="00880EB6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Люберцы Московской области»</w:t>
      </w:r>
      <w:r w:rsidR="00CA145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0793" w:rsidRPr="008E7FD9" w:rsidRDefault="00CA145C" w:rsidP="00880EB6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на 2018-2022 годы</w:t>
      </w:r>
    </w:p>
    <w:p w:rsidR="008E5A95" w:rsidRPr="008F547D" w:rsidRDefault="008E5A95" w:rsidP="008F547D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47D" w:rsidRDefault="008E7FD9" w:rsidP="008E5A9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F547D" w:rsidRPr="008F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городской округ Люберцы,</w:t>
      </w:r>
      <w:r w:rsid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8C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Люберцы от 21.12.2017 № 2911-ПА «Об утверждении Порядка принятия решений о разработке муниципальных программ городского округа Люберцы, их формирования и реализации»,</w:t>
      </w:r>
      <w:r w:rsidR="008F547D" w:rsidRPr="008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Главы городского округа Люберцы от 21.06.2017 № 1-РГ </w:t>
      </w:r>
      <w:r w:rsid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F547D" w:rsidRPr="008F54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полномочиями Первого заместителя Главы администрации»</w:t>
      </w:r>
      <w:r w:rsidR="008C5B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47D" w:rsidRPr="008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CA145C" w:rsidRDefault="00CA145C" w:rsidP="008E5A9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5C" w:rsidRPr="00CA145C" w:rsidRDefault="00CA145C" w:rsidP="00CA145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городского округа Люберцы Московской области «Архитектура и градостроительство на территории муниципального образования городской округ Люберцы Московской области» на 2018-2022 годы (прилагается).</w:t>
      </w:r>
    </w:p>
    <w:p w:rsidR="00CA145C" w:rsidRPr="00CA145C" w:rsidRDefault="00CA145C" w:rsidP="00CA145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614D22" w:rsidRPr="0061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Люберецкого муниципального района Московской области от 25.11.2016                               № 2859-ПА</w:t>
      </w:r>
      <w:r w:rsidR="0061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14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14D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территориальное градостроительное развитие Люберецкого муниципального района Московской области».</w:t>
      </w:r>
    </w:p>
    <w:p w:rsidR="00276050" w:rsidRDefault="00CA145C" w:rsidP="00CA145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76050" w:rsidRP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</w:t>
      </w:r>
      <w:r w:rsidR="00276050" w:rsidRP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«Интернет».</w:t>
      </w:r>
    </w:p>
    <w:p w:rsidR="00CA145C" w:rsidRPr="00CA145C" w:rsidRDefault="00CA145C" w:rsidP="00CA145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C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8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430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8F547D" w:rsidRPr="008F547D" w:rsidRDefault="00CA145C" w:rsidP="00CA145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F547D" w:rsidRPr="00325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55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B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AD4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8F547D" w:rsidRPr="0032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администрации </w:t>
      </w:r>
      <w:r w:rsidR="00AD4B0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</w:t>
      </w:r>
      <w:r w:rsidR="0043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8F547D" w:rsidRPr="008F547D" w:rsidRDefault="008F547D" w:rsidP="00CA145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47D" w:rsidRDefault="008F547D" w:rsidP="00CA145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5C" w:rsidRPr="008F547D" w:rsidRDefault="00CA145C" w:rsidP="00CA145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47D" w:rsidRPr="00B81879" w:rsidRDefault="00E67F8B" w:rsidP="00B81879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8F547D" w:rsidRPr="00B8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</w:p>
    <w:p w:rsidR="008F547D" w:rsidRPr="00B81879" w:rsidRDefault="008F547D" w:rsidP="00B81879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B81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И.Г. Назарьева</w:t>
      </w:r>
    </w:p>
    <w:p w:rsidR="00325D95" w:rsidRDefault="00325D95" w:rsidP="008F547D">
      <w:pPr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D95" w:rsidRDefault="00325D95" w:rsidP="008F547D">
      <w:pPr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50" w:rsidRDefault="00276050" w:rsidP="00325D95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6050" w:rsidSect="00276050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03E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Утверждена Постановлением </w:t>
      </w: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03E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администрации городского округа </w:t>
      </w: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03E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Люберцы Московской области</w:t>
      </w: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03E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CA1A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CA1AAE">
        <w:rPr>
          <w:rFonts w:ascii="Times New Roman" w:eastAsia="Calibri" w:hAnsi="Times New Roman" w:cs="Times New Roman"/>
          <w:sz w:val="24"/>
          <w:szCs w:val="24"/>
        </w:rPr>
        <w:t>23.03.2018</w:t>
      </w:r>
      <w:r w:rsidRPr="00903EBC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proofErr w:type="gramEnd"/>
      <w:r w:rsidRPr="00903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AAE">
        <w:rPr>
          <w:rFonts w:ascii="Times New Roman" w:eastAsia="Calibri" w:hAnsi="Times New Roman" w:cs="Times New Roman"/>
          <w:sz w:val="24"/>
          <w:szCs w:val="24"/>
        </w:rPr>
        <w:t>966-ПА</w:t>
      </w: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«Архитектура и градостроительство на территории муниципального образования </w:t>
      </w: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городской округ Люберцы Московской области» на 2018-2022 годы</w:t>
      </w: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03E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46"/>
      <w:bookmarkEnd w:id="0"/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2"/>
        <w:gridCol w:w="2023"/>
        <w:gridCol w:w="1701"/>
        <w:gridCol w:w="1843"/>
        <w:gridCol w:w="1843"/>
        <w:gridCol w:w="1701"/>
        <w:gridCol w:w="1842"/>
      </w:tblGrid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и градостроительство на территории муниципального образования городской округ Люберцы Московской области (далее- Программа)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line="25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Определение приоритетов и формирование пространственного развития городского округа Люберцы Московской области, обеспечивающего градостроительными средствами создание условий для устойчивого развития территории городского округа Люберцы, а также благоприятной среды для проживания граждан и осуществления ими жизнедеятельности. </w:t>
            </w: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EBC" w:rsidRPr="00903EBC" w:rsidRDefault="00903EBC" w:rsidP="00903EBC">
            <w:pPr>
              <w:spacing w:line="25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Утверждение документов территориального планирования и градостроительного зонирования </w:t>
            </w:r>
            <w:r w:rsidRPr="00903EB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городского округа Люберцы </w:t>
            </w: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области, а также местных нормативов градостроительного проектирования городского округа Люберцы.</w:t>
            </w:r>
          </w:p>
          <w:p w:rsidR="00903EBC" w:rsidRPr="00903EBC" w:rsidRDefault="00903EBC" w:rsidP="00903EBC">
            <w:pPr>
              <w:spacing w:line="25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Создание архитектурно-художественного облика </w:t>
            </w:r>
            <w:r w:rsidRPr="00903EB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городского округа Люберцы </w:t>
            </w: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области.</w:t>
            </w: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Люберцы Московской области, курирующий вопросы архитектуры и градостроительства.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spacing w:after="20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 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03EBC" w:rsidRPr="00903EBC" w:rsidTr="00E702EA">
        <w:tc>
          <w:tcPr>
            <w:tcW w:w="37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03EBC" w:rsidRPr="00903EBC" w:rsidTr="00E702EA"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3EBC" w:rsidRPr="00903EBC" w:rsidTr="00E702E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утвержденного генерального плана городского округа Люберцы.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2. Наличие утвержденных правил землепользования и застройки городского округа (проекта внесения изменений в правила землепользования и застройки).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3. Количество проведенных публичных слушаний по проекту генерального плана городского округа.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Количество проведенных публичных слушаний по проекту правил землепользования и застройки 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(проекту внесения изменений в правила землепользования и застройки).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5. Наличие утвержденных местных нормативов градостроительного проектирования городского округа Люберцы.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6. Количество архитектурно-планировочных концепций благоустройства общественных территорий.</w:t>
            </w:r>
          </w:p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eastAsia="Calibri" w:hAnsi="Times New Roman" w:cs="Times New Roman"/>
                <w:sz w:val="24"/>
                <w:szCs w:val="24"/>
              </w:rPr>
              <w:t>7. Запрет на долгострой. Улучшение архитектурного облика (ликвидация долгостроев, самовольного строительства).</w:t>
            </w:r>
          </w:p>
        </w:tc>
      </w:tr>
    </w:tbl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/>
        <w:rPr>
          <w:rFonts w:ascii="Calibri" w:eastAsia="Calibri" w:hAnsi="Calibri" w:cs="Times New Roman"/>
        </w:rPr>
      </w:pPr>
    </w:p>
    <w:p w:rsidR="00276050" w:rsidRDefault="00276050" w:rsidP="00903EBC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Default="00903EBC" w:rsidP="00903EBC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Default="00903EBC" w:rsidP="00903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Default="00903EBC" w:rsidP="00903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3EBC" w:rsidSect="00E702E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03EBC" w:rsidRDefault="00903EBC" w:rsidP="00903EBC">
      <w:pPr>
        <w:tabs>
          <w:tab w:val="left" w:pos="6165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numPr>
          <w:ilvl w:val="0"/>
          <w:numId w:val="48"/>
        </w:numPr>
        <w:tabs>
          <w:tab w:val="left" w:pos="709"/>
        </w:tabs>
        <w:spacing w:after="160" w:line="259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03EB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Муниципальная программа «Архитектура и градостроительства на территории муниципального образования городской округ Люберцы Московской области»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21.04.2017 № 56/2017-ОЗ (ред. от 18.07.2017) 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21.12.2017                     № 2911-ПА «Об утверждении Порядка принятия решений о разработке муниципальных программ городского округа Люберцы, их формирования и реализации» и Положением об управлении архитектуры администрации городского округа Люберцы.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Островецкое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Раменского муниципального района Московской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области,на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востоке – с сельским поселением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Вялковское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Раменского муниципального района, с сельским поселением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Верейское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Раменского муниципального района, с сельским поселением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Островецкое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Площадь территории городского округа Люберцы составляет 12205 га.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Граница городского округа Люберцы утверждена Постановлением Московской областной думы от </w:t>
      </w:r>
      <w:proofErr w:type="gramStart"/>
      <w:r w:rsidRPr="00903EBC">
        <w:rPr>
          <w:rFonts w:ascii="Times New Roman" w:eastAsia="Calibri" w:hAnsi="Times New Roman" w:cs="Times New Roman"/>
          <w:sz w:val="28"/>
          <w:szCs w:val="28"/>
        </w:rPr>
        <w:t>13.04.2017 .</w:t>
      </w:r>
      <w:proofErr w:type="gram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№ 14/21-П «О Законе Московской области «О границе городского округа Люберцы».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городского округа расположено 22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насёленных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пункта: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lastRenderedPageBreak/>
        <w:t>Люберцы – город Московской области – административный центр городского округа;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Красково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дачный поселок;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Малаховка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рабочий поселок;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Октябрьский – рабочий поселок;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Томилино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рабочий поселок;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Балластный Карьер – поселок;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Егорово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поселок;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Жилино-1 – поселок;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Жилино-2 – поселок;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Кирилловка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Лукьяновка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Марусино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Машково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Мирный – поселок;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Мотяково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Пехорка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Сосновка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Токарево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Торбеево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Хлыстово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Часовня – деревня;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Чкалово – поселок.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Балашихинско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>-Люберецкой устойчивой системы расселения, которая является рекреационно-городской.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«Опорными» населёнными пунктами устойчивой системы расселения на территории городского округа Люберцы являются: г. Люберцы,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Малаховка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. Октябрьский,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Томилино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д.п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Красково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Тума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Касимов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>», планируемая</w:t>
      </w:r>
      <w:r w:rsidRPr="00903E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3EBC">
        <w:rPr>
          <w:rFonts w:ascii="Times New Roman" w:eastAsia="Calibri" w:hAnsi="Times New Roman" w:cs="Times New Roman"/>
          <w:sz w:val="28"/>
          <w:szCs w:val="28"/>
        </w:rPr>
        <w:t>федеральная автодорога МКАД – Ногинск – Орехово-Зуево, новые региональные автодороги.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lastRenderedPageBreak/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Накопление "отложенных затрат" на содержание жилищного фонда и коммунальных инфраструктур, рост стоимости их эксплуатации, ремонта.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обеспечение градостроительными средствами роста качества жизни населения городского округа Люберцы, учет интересов граждан и их объединений при определении назначения территорий исходя из совокупности социальных, экономических, экологических и иных факторов. Задачами территориального планирования развития городского округа Люберцы в системе расселения Московской области также являются: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</w:t>
      </w:r>
      <w:r w:rsidRPr="00903EBC">
        <w:rPr>
          <w:rFonts w:ascii="Times New Roman" w:eastAsia="Calibri" w:hAnsi="Times New Roman" w:cs="Times New Roman"/>
          <w:sz w:val="28"/>
          <w:szCs w:val="28"/>
        </w:rPr>
        <w:tab/>
        <w:t>обеспечение устойчивого развития территорий на основе территориального планирования и градостроительного зонирования;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</w:t>
      </w:r>
      <w:r w:rsidRPr="00903EBC">
        <w:rPr>
          <w:rFonts w:ascii="Times New Roman" w:eastAsia="Calibri" w:hAnsi="Times New Roman" w:cs="Times New Roman"/>
          <w:sz w:val="28"/>
          <w:szCs w:val="28"/>
        </w:rPr>
        <w:tab/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</w:t>
      </w:r>
      <w:r w:rsidRPr="00903EBC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осуществление градостроительной деятельности с соблюдением требований технических регламентов, безопасности территорий, инженерно-технических требований, требований гражданской обороны; </w:t>
      </w:r>
    </w:p>
    <w:p w:rsidR="00903EBC" w:rsidRPr="00903EBC" w:rsidRDefault="00903EBC" w:rsidP="00903EBC">
      <w:pPr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</w:t>
      </w:r>
      <w:r w:rsidRPr="00903EBC">
        <w:rPr>
          <w:rFonts w:ascii="Times New Roman" w:eastAsia="Calibri" w:hAnsi="Times New Roman" w:cs="Times New Roman"/>
          <w:sz w:val="28"/>
          <w:szCs w:val="28"/>
        </w:rPr>
        <w:tab/>
        <w:t>обеспечение мер по предупреждению чрезвычайных ситуаций природного и техногенного характера, противодействию террористическим актам;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</w:t>
      </w:r>
      <w:r w:rsidRPr="00903EBC">
        <w:rPr>
          <w:rFonts w:ascii="Times New Roman" w:eastAsia="Calibri" w:hAnsi="Times New Roman" w:cs="Times New Roman"/>
          <w:sz w:val="28"/>
          <w:szCs w:val="28"/>
        </w:rPr>
        <w:tab/>
        <w:t>осуществление градостроительной деятельности с соблюдением требований охраны окружающей среды и экологической безопасности;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</w:t>
      </w:r>
      <w:r w:rsidRPr="00903EBC">
        <w:rPr>
          <w:rFonts w:ascii="Times New Roman" w:eastAsia="Calibri" w:hAnsi="Times New Roman" w:cs="Times New Roman"/>
          <w:sz w:val="28"/>
          <w:szCs w:val="28"/>
        </w:rPr>
        <w:tab/>
        <w:t>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Для этого необходимо: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1)  Утверждение Генерального плана городского округа Люберцы Московской области.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2) Разработать и утвердить нормативы градостроительного проектирования городского округа Люберцы.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3)  Согласование и реализация проектов по разработке пешеходных зон и благоустроенных общественных пространств в населенных пунктах городского округа Люберцы, а также приведение в надлежащий вид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вылетных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магистралей и главной улицы города Люберцы.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территории (части территории) городского округа Люберцы утверждены Решением Совета депутатов городского округа Люберцы от 20.12.2017 № 164/18. 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В соответствии с мероприятиями государственной программы «Архитектура и градостроительство» в 2018 году предусмотрено внесение изменений в Правила землепользования и застройки территории (части территории) городского округа Люберцы.</w:t>
      </w:r>
    </w:p>
    <w:p w:rsidR="00903EBC" w:rsidRPr="00903EBC" w:rsidRDefault="00903EBC" w:rsidP="00903EBC">
      <w:pPr>
        <w:numPr>
          <w:ilvl w:val="0"/>
          <w:numId w:val="48"/>
        </w:num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03EB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По итогам реализации градостроительными средствами мероприятий муниципальной программы планируется: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обеспечения жителей городского округа Люберцы в социальных объектах согласно нормативным требованиям;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возможность резервирование территории для развития транспортных инфраструктур.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В ходе реализации муниципальной программы могут возникнуть социальные и нормативно-правовые риски.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Социальные риски – могут быть выражены социальным напряжением населения в ходе публичных слушаний, что приведет к необходимости направления на доработку проекта документов территориального планирования.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Снижение рисков возможно обеспечить за счет: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903EBC" w:rsidRPr="00903EBC" w:rsidRDefault="00903EBC" w:rsidP="00903EBC">
      <w:pPr>
        <w:numPr>
          <w:ilvl w:val="0"/>
          <w:numId w:val="48"/>
        </w:numPr>
        <w:tabs>
          <w:tab w:val="left" w:pos="709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03EB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Основные мероприятия муниципальной программы направлены на: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 реализацию политики пространственного развития муниципалитета посредством исполнения комплекса практических мер по разработке и утверждению генерального плана городского округа Люберцы и местных нормативов градостроительного проектирования землепользования и застройки территории муниципального образования, а также внесению изменений в утвержденные правила землепользования и застройки территории (части территории) городского округа Люберцы в целях приведения их в соответствие положениям Градостроительного кодекса Российской Федерации, в том числе в части отображения в документах границ населенных пунктов и Федерального закона от 29 июля 2017 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 формирование привлекательного архитектурно-художественного облика населенных пунктов городского округа Люберцы.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Разработка вышеуказанных документов городского округа Люберцы направлена на создание устойчивого развития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Генеральный план городского округа определяет цели и задачи территориального планирования, а также мероприятия по территориальному планированию муниципального образования.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Генеральный план составляет градостроительную основу всех документов по градостроительному зонированию и планировке территории городского округа и обеспечивает согласованное развитие муниципального образования в структуре Московской области.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Градостроительное зонирование территории городского округа установлено Правилами землепользования и застройки территории (части территории) городского округа Люберцы, утверждёнными Решением Совета депутатов городского округа Люберцы от 20.12.2017 № 164/18. 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Архитектурно-художественный облик напрямую связан с созданием новых архитектурных объектов и сохранением старых, наиболее ценных, а также ликвидацией долгостроев и объектов самовольного строительства. Социально-экономические и культурные условия, являются предпосылками по созданию пространственной среды, в которой мы живем и развиваемся. Качество среды проживания, которую мы формируем, является главным фактором, влияющим на архитектурно-художественный облик городского округа. 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Архитектурно-планировочные концепции благоустройства общественных территорий разрабатываются с целью определения главных стратегических направлений развития городской среды и создания единого облика населенных пунктов муниципального образования.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Под ликвидацией долгостроев и объектов самовольного строительства понимается ряд комплексных мероприятий, предпринимаемых органами местного самоуправления Московской области (городских округов и муниципальных районов),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</w:t>
      </w:r>
      <w:proofErr w:type="spellStart"/>
      <w:r w:rsidRPr="00903EBC">
        <w:rPr>
          <w:rFonts w:ascii="Times New Roman" w:eastAsia="Calibri" w:hAnsi="Times New Roman" w:cs="Times New Roman"/>
          <w:sz w:val="28"/>
          <w:szCs w:val="28"/>
        </w:rPr>
        <w:t>достроя</w:t>
      </w:r>
      <w:proofErr w:type="spellEnd"/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объектов незавершенного строительства.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EBC" w:rsidRPr="00903EBC" w:rsidRDefault="00903EBC" w:rsidP="00903EBC">
      <w:pPr>
        <w:numPr>
          <w:ilvl w:val="0"/>
          <w:numId w:val="48"/>
        </w:numPr>
        <w:tabs>
          <w:tab w:val="left" w:pos="709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03EB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результаты реализации муниципальной программы по форме согласно приложению № 1.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Реализация мероприятий муниципальной программы позволит: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1. Определить: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 приоритеты пространственного развития городского округа;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2. Сформировать: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 привлекательный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архитектурно-художественный облик гостевого маршрута городского округа Люберцы, а также ликвидацией долгостроев и объектов самовольного строительства.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3. Обеспечить: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 контроль за соответствием планируемых параметров объектов местного значения политике пространственного развития городского округа;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lastRenderedPageBreak/>
        <w:t>- качественно улучшить состояние инженерной, транспортной и социальной инфраструктур, повысить экономический и социальный потенциал территории.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03EB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5. Методика расчета значений показателей эффективности реализации программы (наименование, единица измерения, источник </w:t>
      </w:r>
      <w:proofErr w:type="gramStart"/>
      <w:r w:rsidRPr="00903EB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данных,   </w:t>
      </w:r>
      <w:proofErr w:type="gramEnd"/>
      <w:r w:rsidRPr="00903EB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порядок расчета).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3EBC" w:rsidRPr="00903EBC" w:rsidRDefault="00903EBC" w:rsidP="00903EBC">
      <w:pPr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Под оценкой результативности понимается определение степени достижения значений планируемых результатов реализации муниципальной программы.</w:t>
      </w:r>
    </w:p>
    <w:p w:rsidR="00903EBC" w:rsidRPr="00903EBC" w:rsidRDefault="00903EBC" w:rsidP="00903EBC">
      <w:pPr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(далее – планируемое значение показателя, фактическое значение показателя) на конец отчетного периода.</w:t>
      </w:r>
    </w:p>
    <w:p w:rsidR="00903EBC" w:rsidRPr="00903EBC" w:rsidRDefault="00903EBC" w:rsidP="00903EBC">
      <w:pPr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Методика расчета показателя № 34 «Запрет на долгострой. Улучшение архитектурного облика (ликвидация долгостроев, самовольного строительства)» утверждена Главным управлением архитектуры и градостроительства Московской области.</w:t>
      </w:r>
    </w:p>
    <w:p w:rsidR="00903EBC" w:rsidRPr="00903EBC" w:rsidRDefault="00903EBC" w:rsidP="00903EBC">
      <w:pPr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134"/>
        <w:gridCol w:w="3912"/>
      </w:tblGrid>
      <w:tr w:rsidR="00903EBC" w:rsidRPr="00903EBC" w:rsidTr="00E702EA">
        <w:tc>
          <w:tcPr>
            <w:tcW w:w="567" w:type="dxa"/>
          </w:tcPr>
          <w:p w:rsidR="00903EBC" w:rsidRPr="00903EBC" w:rsidRDefault="00903EBC" w:rsidP="00903EBC">
            <w:pPr>
              <w:spacing w:after="160" w:line="259" w:lineRule="auto"/>
              <w:ind w:left="0" w:firstLine="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75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характеризующего достижение цели</w:t>
            </w:r>
          </w:p>
        </w:tc>
        <w:tc>
          <w:tcPr>
            <w:tcW w:w="1134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912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расчета значений целевого показателя</w:t>
            </w:r>
          </w:p>
        </w:tc>
      </w:tr>
      <w:tr w:rsidR="00903EBC" w:rsidRPr="00903EBC" w:rsidTr="00E702EA">
        <w:tc>
          <w:tcPr>
            <w:tcW w:w="567" w:type="dxa"/>
          </w:tcPr>
          <w:p w:rsidR="00903EBC" w:rsidRPr="00903EBC" w:rsidRDefault="00903EBC" w:rsidP="00903EBC">
            <w:pPr>
              <w:spacing w:after="160" w:line="259" w:lineRule="auto"/>
              <w:ind w:left="0" w:firstLine="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утвержденного генерального плана городского округа Люберцы</w:t>
            </w:r>
          </w:p>
        </w:tc>
        <w:tc>
          <w:tcPr>
            <w:tcW w:w="1134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912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целевого показателя определяется, исходя из фактического наличия утвержденного генерального плана муниципального образования</w:t>
            </w:r>
          </w:p>
        </w:tc>
      </w:tr>
      <w:tr w:rsidR="00903EBC" w:rsidRPr="00903EBC" w:rsidTr="00E702EA">
        <w:tc>
          <w:tcPr>
            <w:tcW w:w="567" w:type="dxa"/>
          </w:tcPr>
          <w:p w:rsidR="00903EBC" w:rsidRPr="00903EBC" w:rsidRDefault="00903EBC" w:rsidP="00903EBC">
            <w:pPr>
              <w:spacing w:after="160" w:line="259" w:lineRule="auto"/>
              <w:ind w:left="0" w:firstLine="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утвержденных правил землепользования и застройки городского округа (проекта внесения изменений в правила землепользования и застройки)</w:t>
            </w:r>
          </w:p>
        </w:tc>
        <w:tc>
          <w:tcPr>
            <w:tcW w:w="1134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912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целевого показателя определяется, исходя из фактического наличия в муниципальном образовании правил землепользования и застройки территории (проекта внесения изменений в правила землепользования и застройки)</w:t>
            </w:r>
          </w:p>
        </w:tc>
      </w:tr>
      <w:tr w:rsidR="00903EBC" w:rsidRPr="00903EBC" w:rsidTr="00E702EA">
        <w:tc>
          <w:tcPr>
            <w:tcW w:w="567" w:type="dxa"/>
          </w:tcPr>
          <w:p w:rsidR="00903EBC" w:rsidRPr="00903EBC" w:rsidRDefault="00903EBC" w:rsidP="00903EBC">
            <w:pPr>
              <w:spacing w:after="160" w:line="259" w:lineRule="auto"/>
              <w:ind w:left="0" w:firstLine="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публичных </w:t>
            </w: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слушаний по проекту генерального плана городского округа</w:t>
            </w:r>
          </w:p>
        </w:tc>
        <w:tc>
          <w:tcPr>
            <w:tcW w:w="1134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12" w:type="dxa"/>
          </w:tcPr>
          <w:p w:rsidR="00903EBC" w:rsidRPr="00903EBC" w:rsidRDefault="00903EBC" w:rsidP="00903EBC">
            <w:pPr>
              <w:spacing w:after="160" w:line="259" w:lineRule="auto"/>
              <w:ind w:left="0" w:firstLine="2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целевого показателя определяется, исходя из </w:t>
            </w: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фактического количества проведенных публичных слушаний по рассмотрению проекта Генерального плана городского округа</w:t>
            </w:r>
          </w:p>
        </w:tc>
      </w:tr>
      <w:tr w:rsidR="00903EBC" w:rsidRPr="00903EBC" w:rsidTr="00E702EA">
        <w:tc>
          <w:tcPr>
            <w:tcW w:w="567" w:type="dxa"/>
          </w:tcPr>
          <w:p w:rsidR="00903EBC" w:rsidRPr="00903EBC" w:rsidRDefault="00903EBC" w:rsidP="00903EBC">
            <w:pPr>
              <w:spacing w:after="160" w:line="259" w:lineRule="auto"/>
              <w:ind w:left="0" w:firstLine="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75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публичных слушаний по проекту правил землепользования и застройки городского округа (проекту внесения изменений в правила землепользования и застройки)</w:t>
            </w:r>
          </w:p>
        </w:tc>
        <w:tc>
          <w:tcPr>
            <w:tcW w:w="1134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3912" w:type="dxa"/>
          </w:tcPr>
          <w:p w:rsidR="00903EBC" w:rsidRPr="00903EBC" w:rsidRDefault="00903EBC" w:rsidP="00903EBC">
            <w:pPr>
              <w:spacing w:after="160" w:line="259" w:lineRule="auto"/>
              <w:ind w:left="0" w:firstLine="2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целевого показателя определяется, исходя из фактического количества проведенных публичных слушаний по рассмотрению проекта правил землепользования и застройки территории (проекта внесения изменений в правила землепользования и застройки)</w:t>
            </w:r>
          </w:p>
        </w:tc>
      </w:tr>
      <w:tr w:rsidR="00903EBC" w:rsidRPr="00903EBC" w:rsidTr="00E702EA">
        <w:tc>
          <w:tcPr>
            <w:tcW w:w="567" w:type="dxa"/>
          </w:tcPr>
          <w:p w:rsidR="00903EBC" w:rsidRPr="00903EBC" w:rsidRDefault="00903EBC" w:rsidP="00903EBC">
            <w:pPr>
              <w:spacing w:after="160" w:line="259" w:lineRule="auto"/>
              <w:ind w:left="0" w:firstLine="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утвержденных местных нормативов градостроительного проектирования городского округа Люберцы</w:t>
            </w:r>
          </w:p>
        </w:tc>
        <w:tc>
          <w:tcPr>
            <w:tcW w:w="1134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912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целевого показателя определяется, исходя из фактического наличия утвержденных местных нормативов градостроительного проектирования городского округа Люберцы</w:t>
            </w:r>
          </w:p>
        </w:tc>
      </w:tr>
      <w:tr w:rsidR="00903EBC" w:rsidRPr="00903EBC" w:rsidTr="00E702EA">
        <w:tc>
          <w:tcPr>
            <w:tcW w:w="567" w:type="dxa"/>
          </w:tcPr>
          <w:p w:rsidR="00903EBC" w:rsidRPr="00903EBC" w:rsidRDefault="00903EBC" w:rsidP="00903EBC">
            <w:pPr>
              <w:spacing w:after="160" w:line="259" w:lineRule="auto"/>
              <w:ind w:left="0" w:firstLine="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архитектурно-планировочных концепций благоустройства общественных территорий</w:t>
            </w:r>
          </w:p>
        </w:tc>
        <w:tc>
          <w:tcPr>
            <w:tcW w:w="1134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12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целевого показателя определяется, исходя из фактического наличия архитектурно-планировочных концепций благоустройства общественных пространств</w:t>
            </w:r>
          </w:p>
        </w:tc>
      </w:tr>
      <w:tr w:rsidR="00903EBC" w:rsidRPr="00903EBC" w:rsidTr="00E702EA">
        <w:tc>
          <w:tcPr>
            <w:tcW w:w="567" w:type="dxa"/>
          </w:tcPr>
          <w:p w:rsidR="00903EBC" w:rsidRPr="00903EBC" w:rsidRDefault="00903EBC" w:rsidP="00903EBC">
            <w:pPr>
              <w:spacing w:after="160" w:line="259" w:lineRule="auto"/>
              <w:ind w:left="0" w:firstLine="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5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Запрет на долгострой. Улучшение архитектурного облика (ликвидация долгостроев, самовольного строительства)</w:t>
            </w:r>
          </w:p>
        </w:tc>
        <w:tc>
          <w:tcPr>
            <w:tcW w:w="1134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</w:t>
            </w:r>
            <w:proofErr w:type="gramStart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=  1</w:t>
            </w:r>
            <w:proofErr w:type="gramEnd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/A +B + (C/D)*k, где</w:t>
            </w:r>
          </w:p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– итоговая оценка деятельности ОМС МО </w:t>
            </w:r>
            <w:proofErr w:type="gramStart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по ликвидация</w:t>
            </w:r>
            <w:proofErr w:type="gramEnd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долгостроев, самовольного строительства, балл;</w:t>
            </w:r>
          </w:p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A – количество объектов незавершенного строительства на дату отчетного периода, единиц (определяется на основании данных, полученных от Администраций муниципальных образований (городских округой и муниципальных районов) и Главного управления государственного строительного надзора Московской области)</w:t>
            </w:r>
          </w:p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значение A=0, то муниципальному образованию (городскому округу, муниципальному району) присваивается максимальный балл – 23 и первое место в рейтинге по значению и динамике; </w:t>
            </w:r>
          </w:p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B – наличие у муниципального образования (городского округа или муниципального района) Дорожных карт по всему перечню объектов незавершенного строительства, согласованных Главным Управлением архитектуры МО, балл.</w:t>
            </w:r>
          </w:p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Дорожной </w:t>
            </w:r>
            <w:proofErr w:type="gramStart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карты  –</w:t>
            </w:r>
            <w:proofErr w:type="gramEnd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балла, отсутствие Дорожной карты  – 0 баллов;</w:t>
            </w:r>
          </w:p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C – количество этапов (</w:t>
            </w:r>
            <w:proofErr w:type="gramStart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мероприятий)  Дорожных</w:t>
            </w:r>
            <w:proofErr w:type="gramEnd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карт, выполненных муниципальным образованием в целях ликвидации (</w:t>
            </w:r>
            <w:proofErr w:type="spellStart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достроя</w:t>
            </w:r>
            <w:proofErr w:type="spellEnd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сноса объектов) </w:t>
            </w: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незавершенного строительства за отчетный период (месяц), единиц;</w:t>
            </w:r>
          </w:p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 – общее количество этапов (мероприятий) Дорожных </w:t>
            </w:r>
            <w:proofErr w:type="gramStart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карт,  предусмотренных</w:t>
            </w:r>
            <w:proofErr w:type="gramEnd"/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муниципальным образованием (муниципальным районом или округом) по всем объектов незавершенного строительства, единиц;</w:t>
            </w:r>
          </w:p>
          <w:p w:rsidR="00903EBC" w:rsidRPr="00903EBC" w:rsidRDefault="00903EBC" w:rsidP="00903EBC">
            <w:pPr>
              <w:spacing w:after="160"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EBC">
              <w:rPr>
                <w:rFonts w:ascii="Times New Roman" w:eastAsia="Calibri" w:hAnsi="Times New Roman" w:cs="Times New Roman"/>
                <w:sz w:val="28"/>
                <w:szCs w:val="28"/>
              </w:rPr>
              <w:t>k – коэффициент, равен 20.</w:t>
            </w:r>
          </w:p>
        </w:tc>
      </w:tr>
    </w:tbl>
    <w:p w:rsidR="00903EBC" w:rsidRPr="00903EBC" w:rsidRDefault="00903EBC" w:rsidP="00903EBC">
      <w:pPr>
        <w:spacing w:after="160" w:line="259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lastRenderedPageBreak/>
        <w:t>Под «дорожной картой» для ликвидации долгостроев и объектов самовольного строительства (далее – Дорожная карта) понимается комплексный документ, который содержит справку об объекте незавершенного строительства, расположенном в муниципальном образовании (городском округе или муниципальном районе), а также перечень этапов (мероприятий) по его дострою или сносу с указанием ответственных лиц и сроков их выполнения. На один объект незавершенного строительства заполняется одна дорожная карта.</w:t>
      </w:r>
    </w:p>
    <w:p w:rsidR="00903EBC" w:rsidRPr="00903EBC" w:rsidRDefault="00903EBC" w:rsidP="00903EBC">
      <w:pPr>
        <w:numPr>
          <w:ilvl w:val="0"/>
          <w:numId w:val="49"/>
        </w:numPr>
        <w:tabs>
          <w:tab w:val="left" w:pos="709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03EB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Порядок взаимодействия ответственного за выполнение мероприятия с заказчиком подпрограммы.</w:t>
      </w:r>
    </w:p>
    <w:p w:rsidR="00903EBC" w:rsidRPr="00903EBC" w:rsidRDefault="00903EBC" w:rsidP="00903EBC">
      <w:p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Ответственность за реализацию муниципальной программы несет муниципальный заказчик муниципальной программы. Контроль за ходом реализации муниципальной программы осуществляется Заместителем Главы администрации городского округа Люберцы.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Управление реализацией муниципальной программы и обеспечение достижения планируемых значений показателей эффективности реализации программных мероприятий осуществляется координатором муниципальной программы - Заместителем Главы администрации городского округа Люберцы.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>Взаимодействие между ответственными за выполнение отдельных мероприятий муниципальной программы и координацию их действий по реализации запланированных работ, достижению планируемых значений показателей эффективности, анализу и рациональному использованию средств бюджета и иных привлекаемых источников осуществляет ответственный исполнитель - управление архитектуры администрации городского округа Люберцы.</w:t>
      </w:r>
    </w:p>
    <w:p w:rsidR="00903EBC" w:rsidRPr="00903EBC" w:rsidRDefault="00903EBC" w:rsidP="00903EBC">
      <w:p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EBC" w:rsidRPr="00903EBC" w:rsidRDefault="00903EBC" w:rsidP="00903EBC">
      <w:pPr>
        <w:numPr>
          <w:ilvl w:val="0"/>
          <w:numId w:val="49"/>
        </w:numPr>
        <w:tabs>
          <w:tab w:val="left" w:pos="709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03EB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Состав, форма и сроки представления отчетности о ходе реализации мероприятия ответственным за выполнение мероприятия.</w:t>
      </w:r>
    </w:p>
    <w:p w:rsidR="00903EBC" w:rsidRPr="00903EBC" w:rsidRDefault="00903EBC" w:rsidP="00903EBC">
      <w:pPr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BC">
        <w:rPr>
          <w:rFonts w:ascii="Times New Roman" w:eastAsia="Calibri" w:hAnsi="Times New Roman" w:cs="Times New Roman"/>
          <w:sz w:val="28"/>
          <w:szCs w:val="28"/>
        </w:rPr>
        <w:t xml:space="preserve">Состав, форма и сроки представления отчетности о ходе реализации мероприятий муниципальной программы устанавливаются в соответствии </w:t>
      </w:r>
      <w:r w:rsidRPr="00903EBC">
        <w:rPr>
          <w:rFonts w:ascii="Times New Roman" w:eastAsia="Calibri" w:hAnsi="Times New Roman" w:cs="Times New Roman"/>
          <w:sz w:val="28"/>
          <w:szCs w:val="28"/>
        </w:rPr>
        <w:lastRenderedPageBreak/>
        <w:t>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от 21.12.2017 № 2911-ПА.</w:t>
      </w:r>
    </w:p>
    <w:p w:rsidR="00903EBC" w:rsidRPr="00903EBC" w:rsidRDefault="00903EBC" w:rsidP="00903EBC">
      <w:pPr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EBC" w:rsidRDefault="00903EBC" w:rsidP="00903EBC">
      <w:pPr>
        <w:tabs>
          <w:tab w:val="left" w:pos="6165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3EBC" w:rsidSect="00CA1AA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03EBC" w:rsidRDefault="00903EBC" w:rsidP="00903EBC">
      <w:pPr>
        <w:tabs>
          <w:tab w:val="left" w:pos="6165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9"/>
      <w:bookmarkEnd w:id="1"/>
      <w:r w:rsidRPr="0090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«Архитектура и градостроительство </w:t>
      </w: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Московской области» на 2018-2022 годы. </w:t>
      </w: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11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338"/>
        <w:gridCol w:w="1055"/>
        <w:gridCol w:w="1417"/>
        <w:gridCol w:w="1338"/>
        <w:gridCol w:w="1151"/>
        <w:gridCol w:w="1213"/>
        <w:gridCol w:w="1151"/>
        <w:gridCol w:w="1151"/>
        <w:gridCol w:w="1337"/>
      </w:tblGrid>
      <w:tr w:rsidR="00903EBC" w:rsidRPr="00903EBC" w:rsidTr="00CA1AAE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</w:t>
            </w:r>
            <w:proofErr w:type="gramEnd"/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показателя*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Базовое значение на начало реализации программы/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903EBC" w:rsidRPr="00903EBC" w:rsidTr="00CA1A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EBC" w:rsidRPr="00903EBC" w:rsidTr="00CA1AA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903EBC" w:rsidRPr="00903EBC" w:rsidTr="00CA1AA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утвержденного генерального плана городского округа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03EBC" w:rsidRPr="00903EBC" w:rsidTr="00CA1AA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утвержденных правил землепользования и застройки городского округа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03EBC" w:rsidRPr="00903EBC" w:rsidTr="00CA1AA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публичных слушаний по проекту генерального плана городского округа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GoBack"/>
            <w:bookmarkEnd w:id="2"/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03EBC" w:rsidRPr="00903EBC" w:rsidTr="00CA1AA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проведенных </w:t>
            </w: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публичных слушаний по проекту правил землепользования и застройки городского округа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Целевой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03EBC" w:rsidRPr="00903EBC" w:rsidTr="00CA1AA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утвержденных местных нормативов градостроительного проектирования городского округа Люберцы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03EBC" w:rsidRPr="00903EBC" w:rsidTr="00CA1AA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архитектурно-планировочных концепций благоустройства общественных территорий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03EBC" w:rsidRPr="00903EBC" w:rsidTr="00CA1AA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 на долгострой. Улучшение архитектурного облика (ликвидация долгостроев, самовольного строительства)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03EBC" w:rsidRPr="00903EBC" w:rsidRDefault="00903EBC" w:rsidP="00903E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 (подпрограммы)</w:t>
      </w: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3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«Архитектура и градостроительство </w:t>
      </w: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3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городского округа Люберцы Московской области» на 2018-2022 годы. </w:t>
      </w:r>
    </w:p>
    <w:p w:rsidR="00903EBC" w:rsidRPr="00903EBC" w:rsidRDefault="00903EBC" w:rsidP="00903EB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574"/>
        <w:gridCol w:w="999"/>
        <w:gridCol w:w="1531"/>
        <w:gridCol w:w="1219"/>
        <w:gridCol w:w="999"/>
        <w:gridCol w:w="1174"/>
        <w:gridCol w:w="1205"/>
        <w:gridCol w:w="1076"/>
        <w:gridCol w:w="1108"/>
        <w:gridCol w:w="910"/>
        <w:gridCol w:w="936"/>
        <w:gridCol w:w="1151"/>
      </w:tblGrid>
      <w:tr w:rsidR="00903EBC" w:rsidRPr="00903EBC" w:rsidTr="00E702EA">
        <w:trPr>
          <w:trHeight w:val="20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Всего,   </w:t>
            </w:r>
            <w:proofErr w:type="gramEnd"/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912" w:type="pct"/>
            <w:gridSpan w:val="5"/>
            <w:shd w:val="clear" w:color="auto" w:fill="auto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318" w:type="pct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3" w:name="_Hlk498508694"/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1.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утверждения проекта Генерального плана городского округа Люберцы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 квартал 2018 года</w:t>
            </w: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архитектуры (Ю.Н. Пантелеев)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утвержденного Генерального плана городского округа Люберцы</w:t>
            </w:r>
          </w:p>
        </w:tc>
      </w:tr>
      <w:bookmarkEnd w:id="3"/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-23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2.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проведения публичных слушаний по проекту генерального плана городского округа Люберцы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 квартал 2018 года</w:t>
            </w: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80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80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-8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-8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-8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архитектуры (Ю.Н. Пантелеев)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проведенных публичных слушаний по проекту генерального плана городского округа Люберцы</w:t>
            </w: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3.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утверждения проекта правил землепользования и застройки городского округа Люберцы (проектов внесения изменений в правила землепользования и застройки городского округа Люберцы)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 2018 года</w:t>
            </w: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архитектуры (Ю.Н. Пантелеев)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утвержденных правил землепользования и застройки городского округа Люберцы (проектов внесения изменений в правила землепользования и застройки городского округа Люберцы)</w:t>
            </w: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4.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Обеспечение проведения публичных слушаний по рассмотрению правил землепользования и застройки городского округа Люберцы (проектов внесения изменений в правила землепользования и застройки городского округа Люберцы)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Декабрь 2018 года</w:t>
            </w: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Управление </w:t>
            </w: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архитектуры (Ю.Н. Пантелеев)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Количество </w:t>
            </w: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проведенных публичных слушаний по рассмотрению правил землепользования и застройки городского округа Люберцы (проектов внесения изменений в правила землепользования и застройки городского округа Люберцы)</w:t>
            </w: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</w:t>
            </w: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lastRenderedPageBreak/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-57" w:right="-57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-23" w:right="-57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-36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-36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-36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5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утверждения местных нормативов градостроительного проектирования городского округа Люберцы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 квартал 2018 года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архитектуры (Ю.Н. Пантелеев)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утверждённых местных нормативов градостроительного проектирования городского округа Люберцы</w:t>
            </w: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-39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0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6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архитектурно-планировочных концепций благоустройства общественных территорий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 квартал 2018 года</w:t>
            </w: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Управление архитектуры (Ю.Н. Пантелеев), Управление </w:t>
            </w:r>
            <w:proofErr w:type="spellStart"/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благоустройста</w:t>
            </w:r>
            <w:proofErr w:type="spellEnd"/>
          </w:p>
        </w:tc>
        <w:tc>
          <w:tcPr>
            <w:tcW w:w="402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Количествоархитектурно</w:t>
            </w:r>
            <w:proofErr w:type="spellEnd"/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-планировочных концепций благоустройства общественных территорий, </w:t>
            </w:r>
            <w:proofErr w:type="gramStart"/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ликвидация  долгостроев</w:t>
            </w:r>
            <w:proofErr w:type="gramEnd"/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самовольного строительства</w:t>
            </w: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1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700" w:type="pct"/>
            <w:gridSpan w:val="2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ПО ПРОГРАММЕ (ПОДПРОГРАММЕ)</w:t>
            </w:r>
          </w:p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700" w:type="pct"/>
            <w:gridSpan w:val="2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700" w:type="pct"/>
            <w:gridSpan w:val="2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700" w:type="pct"/>
            <w:gridSpan w:val="2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</w:t>
            </w: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lastRenderedPageBreak/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3EBC" w:rsidRPr="00903EBC" w:rsidTr="00E702EA">
        <w:trPr>
          <w:trHeight w:val="20"/>
        </w:trPr>
        <w:tc>
          <w:tcPr>
            <w:tcW w:w="700" w:type="pct"/>
            <w:gridSpan w:val="2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3E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49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10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421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76" w:type="pct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87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18" w:type="pct"/>
            <w:shd w:val="clear" w:color="auto" w:fill="auto"/>
          </w:tcPr>
          <w:p w:rsidR="00903EBC" w:rsidRPr="00903EBC" w:rsidRDefault="00903EBC" w:rsidP="00903EBC">
            <w:pPr>
              <w:ind w:left="102"/>
              <w:jc w:val="center"/>
            </w:pPr>
            <w:r w:rsidRPr="00903EBC">
              <w:t>0,00</w:t>
            </w:r>
          </w:p>
        </w:tc>
        <w:tc>
          <w:tcPr>
            <w:tcW w:w="327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03EBC" w:rsidRPr="00903EBC" w:rsidRDefault="00903EBC" w:rsidP="00903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03EBC" w:rsidRDefault="00903EBC" w:rsidP="00903EBC">
      <w:pPr>
        <w:tabs>
          <w:tab w:val="left" w:pos="6165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Default="00903EBC" w:rsidP="00903EBC">
      <w:pPr>
        <w:tabs>
          <w:tab w:val="left" w:pos="6165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Default="00903EBC" w:rsidP="00903EBC">
      <w:pPr>
        <w:tabs>
          <w:tab w:val="left" w:pos="6165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Default="00903EBC" w:rsidP="00903EBC">
      <w:pPr>
        <w:tabs>
          <w:tab w:val="left" w:pos="6165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Default="00903EBC" w:rsidP="00903EBC">
      <w:pPr>
        <w:tabs>
          <w:tab w:val="left" w:pos="6165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BC" w:rsidRPr="00903EBC" w:rsidRDefault="00903EBC" w:rsidP="00903EBC">
      <w:pPr>
        <w:tabs>
          <w:tab w:val="left" w:pos="6165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EBC" w:rsidRPr="00903EBC" w:rsidSect="00903E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076"/>
    <w:multiLevelType w:val="hybridMultilevel"/>
    <w:tmpl w:val="6AACC226"/>
    <w:lvl w:ilvl="0" w:tplc="AB7EB0FA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4726B"/>
    <w:multiLevelType w:val="hybridMultilevel"/>
    <w:tmpl w:val="420C3744"/>
    <w:lvl w:ilvl="0" w:tplc="E5E8BA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C0FF9"/>
    <w:multiLevelType w:val="hybridMultilevel"/>
    <w:tmpl w:val="2AA0B90C"/>
    <w:lvl w:ilvl="0" w:tplc="BABE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5" w15:restartNumberingAfterBreak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2344B"/>
    <w:multiLevelType w:val="hybridMultilevel"/>
    <w:tmpl w:val="0E648E56"/>
    <w:lvl w:ilvl="0" w:tplc="DF102850">
      <w:start w:val="16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9" w15:restartNumberingAfterBreak="0">
    <w:nsid w:val="11354F00"/>
    <w:multiLevelType w:val="hybridMultilevel"/>
    <w:tmpl w:val="DD4C3AD0"/>
    <w:lvl w:ilvl="0" w:tplc="F6A4A3A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AD3BDB"/>
    <w:multiLevelType w:val="hybridMultilevel"/>
    <w:tmpl w:val="13CAA81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6C1323"/>
    <w:multiLevelType w:val="hybridMultilevel"/>
    <w:tmpl w:val="6276D998"/>
    <w:lvl w:ilvl="0" w:tplc="5F606B5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58C2"/>
    <w:multiLevelType w:val="hybridMultilevel"/>
    <w:tmpl w:val="9C6EC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7E390D"/>
    <w:multiLevelType w:val="hybridMultilevel"/>
    <w:tmpl w:val="737CF55E"/>
    <w:lvl w:ilvl="0" w:tplc="E3A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5D2699"/>
    <w:multiLevelType w:val="hybridMultilevel"/>
    <w:tmpl w:val="73C6CBE2"/>
    <w:lvl w:ilvl="0" w:tplc="4A2E3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884"/>
    <w:multiLevelType w:val="hybridMultilevel"/>
    <w:tmpl w:val="573C32CA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3DE0"/>
    <w:multiLevelType w:val="hybridMultilevel"/>
    <w:tmpl w:val="E576A5CC"/>
    <w:lvl w:ilvl="0" w:tplc="E2A6AC5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029ED"/>
    <w:multiLevelType w:val="hybridMultilevel"/>
    <w:tmpl w:val="AFB68C0A"/>
    <w:lvl w:ilvl="0" w:tplc="B3A41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AC754B"/>
    <w:multiLevelType w:val="hybridMultilevel"/>
    <w:tmpl w:val="74A8D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45DB1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214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476D0"/>
    <w:multiLevelType w:val="hybridMultilevel"/>
    <w:tmpl w:val="95E643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2" w15:restartNumberingAfterBreak="0">
    <w:nsid w:val="3790454B"/>
    <w:multiLevelType w:val="hybridMultilevel"/>
    <w:tmpl w:val="E55E0132"/>
    <w:lvl w:ilvl="0" w:tplc="0740732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63DAB"/>
    <w:multiLevelType w:val="hybridMultilevel"/>
    <w:tmpl w:val="64E0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D34D9"/>
    <w:multiLevelType w:val="hybridMultilevel"/>
    <w:tmpl w:val="6268B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32DD5"/>
    <w:multiLevelType w:val="hybridMultilevel"/>
    <w:tmpl w:val="2272C0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EF2B0F"/>
    <w:multiLevelType w:val="hybridMultilevel"/>
    <w:tmpl w:val="C33C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66079"/>
    <w:multiLevelType w:val="hybridMultilevel"/>
    <w:tmpl w:val="1252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2DFB"/>
    <w:multiLevelType w:val="hybridMultilevel"/>
    <w:tmpl w:val="BD10AAF0"/>
    <w:lvl w:ilvl="0" w:tplc="EA80C1D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14FE7"/>
    <w:multiLevelType w:val="hybridMultilevel"/>
    <w:tmpl w:val="16181E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35AF1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3" w15:restartNumberingAfterBreak="0">
    <w:nsid w:val="6A9D69F7"/>
    <w:multiLevelType w:val="hybridMultilevel"/>
    <w:tmpl w:val="047C89BE"/>
    <w:lvl w:ilvl="0" w:tplc="93FA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439B"/>
    <w:multiLevelType w:val="hybridMultilevel"/>
    <w:tmpl w:val="AB5206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6" w15:restartNumberingAfterBreak="0">
    <w:nsid w:val="6E2B374B"/>
    <w:multiLevelType w:val="hybridMultilevel"/>
    <w:tmpl w:val="E75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8" w15:restartNumberingAfterBreak="0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07262"/>
    <w:multiLevelType w:val="hybridMultilevel"/>
    <w:tmpl w:val="5ECAC4CA"/>
    <w:lvl w:ilvl="0" w:tplc="55586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02ADC"/>
    <w:multiLevelType w:val="hybridMultilevel"/>
    <w:tmpl w:val="7346E41A"/>
    <w:lvl w:ilvl="0" w:tplc="D3E69B32">
      <w:start w:val="1"/>
      <w:numFmt w:val="decimal"/>
      <w:lvlText w:val="%1."/>
      <w:lvlJc w:val="left"/>
      <w:pPr>
        <w:tabs>
          <w:tab w:val="num" w:pos="1145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01A5524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071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2" w15:restartNumberingAfterBreak="0">
    <w:nsid w:val="71F63CEC"/>
    <w:multiLevelType w:val="hybridMultilevel"/>
    <w:tmpl w:val="F86AA002"/>
    <w:lvl w:ilvl="0" w:tplc="B4C0C8D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604EA"/>
    <w:multiLevelType w:val="hybridMultilevel"/>
    <w:tmpl w:val="190425EE"/>
    <w:lvl w:ilvl="0" w:tplc="2542A6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38A43A3"/>
    <w:multiLevelType w:val="hybridMultilevel"/>
    <w:tmpl w:val="EB8CDFC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5" w15:restartNumberingAfterBreak="0">
    <w:nsid w:val="753833FA"/>
    <w:multiLevelType w:val="hybridMultilevel"/>
    <w:tmpl w:val="536E3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F03F4"/>
    <w:multiLevelType w:val="hybridMultilevel"/>
    <w:tmpl w:val="44C6F580"/>
    <w:lvl w:ilvl="0" w:tplc="217C1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A339E"/>
    <w:multiLevelType w:val="hybridMultilevel"/>
    <w:tmpl w:val="0BB6C804"/>
    <w:lvl w:ilvl="0" w:tplc="B436E8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5"/>
  </w:num>
  <w:num w:numId="3">
    <w:abstractNumId w:val="48"/>
  </w:num>
  <w:num w:numId="4">
    <w:abstractNumId w:val="1"/>
  </w:num>
  <w:num w:numId="5">
    <w:abstractNumId w:val="24"/>
  </w:num>
  <w:num w:numId="6">
    <w:abstractNumId w:val="46"/>
  </w:num>
  <w:num w:numId="7">
    <w:abstractNumId w:val="45"/>
  </w:num>
  <w:num w:numId="8">
    <w:abstractNumId w:val="18"/>
  </w:num>
  <w:num w:numId="9">
    <w:abstractNumId w:val="10"/>
  </w:num>
  <w:num w:numId="10">
    <w:abstractNumId w:val="12"/>
  </w:num>
  <w:num w:numId="11">
    <w:abstractNumId w:val="26"/>
  </w:num>
  <w:num w:numId="12">
    <w:abstractNumId w:val="11"/>
  </w:num>
  <w:num w:numId="13">
    <w:abstractNumId w:val="31"/>
  </w:num>
  <w:num w:numId="14">
    <w:abstractNumId w:val="29"/>
  </w:num>
  <w:num w:numId="15">
    <w:abstractNumId w:val="20"/>
  </w:num>
  <w:num w:numId="16">
    <w:abstractNumId w:val="6"/>
  </w:num>
  <w:num w:numId="17">
    <w:abstractNumId w:val="34"/>
  </w:num>
  <w:num w:numId="18">
    <w:abstractNumId w:val="42"/>
  </w:num>
  <w:num w:numId="19">
    <w:abstractNumId w:val="14"/>
  </w:num>
  <w:num w:numId="20">
    <w:abstractNumId w:val="28"/>
  </w:num>
  <w:num w:numId="21">
    <w:abstractNumId w:val="16"/>
  </w:num>
  <w:num w:numId="22">
    <w:abstractNumId w:val="23"/>
  </w:num>
  <w:num w:numId="23">
    <w:abstractNumId w:val="22"/>
  </w:num>
  <w:num w:numId="24">
    <w:abstractNumId w:val="19"/>
  </w:num>
  <w:num w:numId="25">
    <w:abstractNumId w:val="40"/>
  </w:num>
  <w:num w:numId="26">
    <w:abstractNumId w:val="9"/>
  </w:num>
  <w:num w:numId="27">
    <w:abstractNumId w:val="25"/>
  </w:num>
  <w:num w:numId="28">
    <w:abstractNumId w:val="3"/>
  </w:num>
  <w:num w:numId="29">
    <w:abstractNumId w:val="13"/>
  </w:num>
  <w:num w:numId="30">
    <w:abstractNumId w:val="17"/>
  </w:num>
  <w:num w:numId="31">
    <w:abstractNumId w:val="33"/>
  </w:num>
  <w:num w:numId="32">
    <w:abstractNumId w:val="39"/>
  </w:num>
  <w:num w:numId="33">
    <w:abstractNumId w:val="36"/>
  </w:num>
  <w:num w:numId="34">
    <w:abstractNumId w:val="44"/>
  </w:num>
  <w:num w:numId="35">
    <w:abstractNumId w:val="0"/>
  </w:num>
  <w:num w:numId="36">
    <w:abstractNumId w:val="41"/>
  </w:num>
  <w:num w:numId="37">
    <w:abstractNumId w:val="47"/>
  </w:num>
  <w:num w:numId="38">
    <w:abstractNumId w:val="30"/>
  </w:num>
  <w:num w:numId="39">
    <w:abstractNumId w:val="38"/>
  </w:num>
  <w:num w:numId="40">
    <w:abstractNumId w:val="7"/>
  </w:num>
  <w:num w:numId="41">
    <w:abstractNumId w:val="4"/>
  </w:num>
  <w:num w:numId="42">
    <w:abstractNumId w:val="32"/>
  </w:num>
  <w:num w:numId="43">
    <w:abstractNumId w:val="35"/>
  </w:num>
  <w:num w:numId="44">
    <w:abstractNumId w:val="21"/>
  </w:num>
  <w:num w:numId="45">
    <w:abstractNumId w:val="8"/>
  </w:num>
  <w:num w:numId="46">
    <w:abstractNumId w:val="37"/>
  </w:num>
  <w:num w:numId="47">
    <w:abstractNumId w:val="43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EC"/>
    <w:rsid w:val="0000671E"/>
    <w:rsid w:val="0001103A"/>
    <w:rsid w:val="00017FAD"/>
    <w:rsid w:val="0003596D"/>
    <w:rsid w:val="000524E4"/>
    <w:rsid w:val="00061DE8"/>
    <w:rsid w:val="000935CC"/>
    <w:rsid w:val="000C04AE"/>
    <w:rsid w:val="000E05DF"/>
    <w:rsid w:val="000F08E1"/>
    <w:rsid w:val="001409CB"/>
    <w:rsid w:val="0016145A"/>
    <w:rsid w:val="0017353C"/>
    <w:rsid w:val="00173ACB"/>
    <w:rsid w:val="001850FA"/>
    <w:rsid w:val="001B418A"/>
    <w:rsid w:val="001B63EA"/>
    <w:rsid w:val="001E19FF"/>
    <w:rsid w:val="001E4FC9"/>
    <w:rsid w:val="001E60C2"/>
    <w:rsid w:val="001F3D54"/>
    <w:rsid w:val="001F5DC4"/>
    <w:rsid w:val="00203B79"/>
    <w:rsid w:val="002071BC"/>
    <w:rsid w:val="00220882"/>
    <w:rsid w:val="0022528A"/>
    <w:rsid w:val="00227366"/>
    <w:rsid w:val="0023594D"/>
    <w:rsid w:val="00235D0C"/>
    <w:rsid w:val="00262CD3"/>
    <w:rsid w:val="0026645C"/>
    <w:rsid w:val="00276050"/>
    <w:rsid w:val="00294D70"/>
    <w:rsid w:val="002A74D1"/>
    <w:rsid w:val="002D1E93"/>
    <w:rsid w:val="002E346D"/>
    <w:rsid w:val="00302F41"/>
    <w:rsid w:val="00306EEC"/>
    <w:rsid w:val="0032313C"/>
    <w:rsid w:val="00325A32"/>
    <w:rsid w:val="00325D95"/>
    <w:rsid w:val="00362C78"/>
    <w:rsid w:val="0038629D"/>
    <w:rsid w:val="00387C4F"/>
    <w:rsid w:val="003A0C70"/>
    <w:rsid w:val="003A6407"/>
    <w:rsid w:val="003B24DF"/>
    <w:rsid w:val="004032E4"/>
    <w:rsid w:val="00420488"/>
    <w:rsid w:val="00430BF1"/>
    <w:rsid w:val="00444AF1"/>
    <w:rsid w:val="004656F5"/>
    <w:rsid w:val="00474F79"/>
    <w:rsid w:val="00481510"/>
    <w:rsid w:val="0048792E"/>
    <w:rsid w:val="00497772"/>
    <w:rsid w:val="004D362A"/>
    <w:rsid w:val="004E3402"/>
    <w:rsid w:val="0051450D"/>
    <w:rsid w:val="00517640"/>
    <w:rsid w:val="00525D1F"/>
    <w:rsid w:val="005520F4"/>
    <w:rsid w:val="00563B08"/>
    <w:rsid w:val="0058747A"/>
    <w:rsid w:val="00596770"/>
    <w:rsid w:val="005A5AC3"/>
    <w:rsid w:val="005B1FC5"/>
    <w:rsid w:val="005B7CF9"/>
    <w:rsid w:val="005C1AF8"/>
    <w:rsid w:val="005C5359"/>
    <w:rsid w:val="005F11C0"/>
    <w:rsid w:val="005F66B9"/>
    <w:rsid w:val="00614D22"/>
    <w:rsid w:val="00624620"/>
    <w:rsid w:val="006301E8"/>
    <w:rsid w:val="00640638"/>
    <w:rsid w:val="006566D6"/>
    <w:rsid w:val="00697E65"/>
    <w:rsid w:val="006A7242"/>
    <w:rsid w:val="006D0852"/>
    <w:rsid w:val="006E570D"/>
    <w:rsid w:val="006E6141"/>
    <w:rsid w:val="006E7DD4"/>
    <w:rsid w:val="006F02A0"/>
    <w:rsid w:val="006F6EAF"/>
    <w:rsid w:val="00704BC4"/>
    <w:rsid w:val="00741984"/>
    <w:rsid w:val="0075595F"/>
    <w:rsid w:val="00756CAB"/>
    <w:rsid w:val="007643C6"/>
    <w:rsid w:val="007647CF"/>
    <w:rsid w:val="00766295"/>
    <w:rsid w:val="00774D58"/>
    <w:rsid w:val="00780DD7"/>
    <w:rsid w:val="00785802"/>
    <w:rsid w:val="00790F75"/>
    <w:rsid w:val="007B25E8"/>
    <w:rsid w:val="007C3DE9"/>
    <w:rsid w:val="007C5B69"/>
    <w:rsid w:val="007D21CF"/>
    <w:rsid w:val="007E20D6"/>
    <w:rsid w:val="0080564C"/>
    <w:rsid w:val="00820B3E"/>
    <w:rsid w:val="0082612F"/>
    <w:rsid w:val="008305DC"/>
    <w:rsid w:val="00864373"/>
    <w:rsid w:val="00876123"/>
    <w:rsid w:val="00880EB6"/>
    <w:rsid w:val="00890BA8"/>
    <w:rsid w:val="008930A0"/>
    <w:rsid w:val="00897F1E"/>
    <w:rsid w:val="008A77E3"/>
    <w:rsid w:val="008B05B6"/>
    <w:rsid w:val="008C221E"/>
    <w:rsid w:val="008C5BE1"/>
    <w:rsid w:val="008C6CD1"/>
    <w:rsid w:val="008D23B2"/>
    <w:rsid w:val="008E15C7"/>
    <w:rsid w:val="008E4448"/>
    <w:rsid w:val="008E5A95"/>
    <w:rsid w:val="008E7FD9"/>
    <w:rsid w:val="008F547D"/>
    <w:rsid w:val="00903EBC"/>
    <w:rsid w:val="00913985"/>
    <w:rsid w:val="00913EB3"/>
    <w:rsid w:val="00915546"/>
    <w:rsid w:val="00920770"/>
    <w:rsid w:val="00925C30"/>
    <w:rsid w:val="00941E8F"/>
    <w:rsid w:val="00942281"/>
    <w:rsid w:val="0095732A"/>
    <w:rsid w:val="00967195"/>
    <w:rsid w:val="0096725A"/>
    <w:rsid w:val="0098358B"/>
    <w:rsid w:val="00991565"/>
    <w:rsid w:val="009D32E5"/>
    <w:rsid w:val="009F023F"/>
    <w:rsid w:val="00A26A29"/>
    <w:rsid w:val="00A41692"/>
    <w:rsid w:val="00A51533"/>
    <w:rsid w:val="00AB3E95"/>
    <w:rsid w:val="00AC27D3"/>
    <w:rsid w:val="00AD4B03"/>
    <w:rsid w:val="00B46D9B"/>
    <w:rsid w:val="00B51B24"/>
    <w:rsid w:val="00B55C27"/>
    <w:rsid w:val="00B63017"/>
    <w:rsid w:val="00B64BB1"/>
    <w:rsid w:val="00B80DFC"/>
    <w:rsid w:val="00B815B0"/>
    <w:rsid w:val="00B81879"/>
    <w:rsid w:val="00B844EC"/>
    <w:rsid w:val="00B90A05"/>
    <w:rsid w:val="00BA4543"/>
    <w:rsid w:val="00BA47BF"/>
    <w:rsid w:val="00BA7578"/>
    <w:rsid w:val="00BD158C"/>
    <w:rsid w:val="00BE143D"/>
    <w:rsid w:val="00BF3749"/>
    <w:rsid w:val="00C010BE"/>
    <w:rsid w:val="00C1244C"/>
    <w:rsid w:val="00C35CF5"/>
    <w:rsid w:val="00C431AB"/>
    <w:rsid w:val="00C45FDB"/>
    <w:rsid w:val="00C46164"/>
    <w:rsid w:val="00C637CE"/>
    <w:rsid w:val="00C916D2"/>
    <w:rsid w:val="00C970AE"/>
    <w:rsid w:val="00CA145C"/>
    <w:rsid w:val="00CA1AAE"/>
    <w:rsid w:val="00CA77F1"/>
    <w:rsid w:val="00CB7415"/>
    <w:rsid w:val="00CE345D"/>
    <w:rsid w:val="00D606C0"/>
    <w:rsid w:val="00D7270F"/>
    <w:rsid w:val="00DB24A4"/>
    <w:rsid w:val="00DB7DAF"/>
    <w:rsid w:val="00DC391E"/>
    <w:rsid w:val="00DF4FBF"/>
    <w:rsid w:val="00E12ABD"/>
    <w:rsid w:val="00E30793"/>
    <w:rsid w:val="00E62D40"/>
    <w:rsid w:val="00E634CF"/>
    <w:rsid w:val="00E67F8B"/>
    <w:rsid w:val="00E702EA"/>
    <w:rsid w:val="00E9383A"/>
    <w:rsid w:val="00EB4C30"/>
    <w:rsid w:val="00EB6A18"/>
    <w:rsid w:val="00ED0266"/>
    <w:rsid w:val="00ED06C6"/>
    <w:rsid w:val="00ED58EB"/>
    <w:rsid w:val="00F02F58"/>
    <w:rsid w:val="00F20A9A"/>
    <w:rsid w:val="00F5740F"/>
    <w:rsid w:val="00F9112E"/>
    <w:rsid w:val="00F94E09"/>
    <w:rsid w:val="00FA2401"/>
    <w:rsid w:val="00FA406F"/>
    <w:rsid w:val="00FB2D8F"/>
    <w:rsid w:val="00FD39D7"/>
    <w:rsid w:val="00FF0C7A"/>
    <w:rsid w:val="00FF1B37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F34E-8C7E-4573-9924-9C075130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C3DD-195A-4B53-B35E-6054A500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Four</dc:creator>
  <cp:lastModifiedBy>Arhitektura</cp:lastModifiedBy>
  <cp:revision>3</cp:revision>
  <cp:lastPrinted>2018-03-14T14:29:00Z</cp:lastPrinted>
  <dcterms:created xsi:type="dcterms:W3CDTF">2018-04-05T07:06:00Z</dcterms:created>
  <dcterms:modified xsi:type="dcterms:W3CDTF">2018-04-05T07:13:00Z</dcterms:modified>
</cp:coreProperties>
</file>