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EF9" w:rsidRDefault="00E31EF9" w:rsidP="00E31EF9">
      <w:pPr>
        <w:autoSpaceDE w:val="0"/>
        <w:autoSpaceDN w:val="0"/>
        <w:adjustRightInd w:val="0"/>
        <w:spacing w:after="0" w:line="240" w:lineRule="auto"/>
        <w:ind w:right="111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Утверждена</w:t>
      </w:r>
    </w:p>
    <w:p w:rsidR="00E31EF9" w:rsidRDefault="00E31EF9" w:rsidP="00E31EF9">
      <w:pPr>
        <w:autoSpaceDE w:val="0"/>
        <w:autoSpaceDN w:val="0"/>
        <w:adjustRightInd w:val="0"/>
        <w:spacing w:after="0" w:line="240" w:lineRule="auto"/>
        <w:ind w:left="27" w:right="111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Постановлением </w:t>
      </w: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</w:rPr>
        <w:t>администрации</w:t>
      </w:r>
    </w:p>
    <w:p w:rsidR="00E31EF9" w:rsidRDefault="00E31EF9" w:rsidP="00E31EF9">
      <w:pPr>
        <w:autoSpaceDE w:val="0"/>
        <w:autoSpaceDN w:val="0"/>
        <w:adjustRightInd w:val="0"/>
        <w:spacing w:after="0" w:line="240" w:lineRule="auto"/>
        <w:ind w:left="27" w:right="111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городского округа Люберцы</w:t>
      </w:r>
    </w:p>
    <w:p w:rsidR="00E31EF9" w:rsidRDefault="00E31EF9" w:rsidP="00E31EF9">
      <w:pPr>
        <w:autoSpaceDE w:val="0"/>
        <w:autoSpaceDN w:val="0"/>
        <w:adjustRightInd w:val="0"/>
        <w:spacing w:after="0" w:line="240" w:lineRule="auto"/>
        <w:ind w:left="27" w:right="111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E31EF9" w:rsidRDefault="00E31EF9" w:rsidP="00E31EF9">
      <w:pPr>
        <w:autoSpaceDE w:val="0"/>
        <w:autoSpaceDN w:val="0"/>
        <w:adjustRightInd w:val="0"/>
        <w:spacing w:after="0" w:line="240" w:lineRule="auto"/>
        <w:ind w:left="27" w:right="111" w:firstLine="11199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07.02.2019 № 446-ПА</w:t>
      </w:r>
    </w:p>
    <w:p w:rsidR="00E31EF9" w:rsidRDefault="00E31EF9" w:rsidP="00E31EF9">
      <w:pPr>
        <w:autoSpaceDE w:val="0"/>
        <w:autoSpaceDN w:val="0"/>
        <w:adjustRightInd w:val="0"/>
        <w:spacing w:after="0" w:line="240" w:lineRule="auto"/>
        <w:ind w:left="27" w:right="27" w:firstLine="12466"/>
        <w:rPr>
          <w:rFonts w:ascii="Arial" w:hAnsi="Arial" w:cs="Arial"/>
          <w:color w:val="000000"/>
          <w:sz w:val="24"/>
          <w:szCs w:val="24"/>
        </w:rPr>
      </w:pPr>
    </w:p>
    <w:p w:rsidR="00E31EF9" w:rsidRDefault="00E31EF9" w:rsidP="00E31E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программа «Энергосбережение и повышение энергетической эффективности в городском округе Люберцы Московской области»</w:t>
      </w:r>
    </w:p>
    <w:p w:rsidR="00E31EF9" w:rsidRDefault="00E31EF9" w:rsidP="00E31E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E31EF9" w:rsidRDefault="00E31EF9" w:rsidP="00E31EF9">
      <w:pPr>
        <w:ind w:left="567" w:right="56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p w:rsidR="00E31EF9" w:rsidRDefault="00E31EF9" w:rsidP="00E31EF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142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115"/>
        <w:gridCol w:w="1657"/>
        <w:gridCol w:w="1519"/>
        <w:gridCol w:w="1522"/>
        <w:gridCol w:w="1657"/>
        <w:gridCol w:w="1657"/>
        <w:gridCol w:w="1593"/>
      </w:tblGrid>
      <w:tr w:rsidR="00E31EF9" w:rsidTr="00E31EF9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в ведении муниципального образования городского округа Люберцы Московской области, организаций коммунального комплекса, жилищного фонда, экономия бюджетных средств и средств потребителей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Повышение энергетической эффективности в бюджетной сфере.</w:t>
            </w:r>
          </w:p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Повышение энергетической эффективности в жилищном фонде.</w:t>
            </w:r>
          </w:p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Повышение энергетической эффективности в системах коммунальной инфраструктуры.</w:t>
            </w:r>
          </w:p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Повышение энергетической эффективности систем наружного освещения.</w:t>
            </w:r>
          </w:p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 Повышение энергетической эффективности на территории городского округа.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А. И.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-  Заместитель Главы администрации городского округа Люберцы Московской области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2018 - 2022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7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26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31EF9" w:rsidRDefault="00E31E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</w:t>
            </w:r>
          </w:p>
          <w:p w:rsidR="00E31EF9" w:rsidRDefault="00E31E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2020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Московской области 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035,17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19 035,17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548 895,44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140 420,46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102 869,11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103 867,65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100 869,11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100 869,11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473 544,72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115 667,50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92 919,72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88 283,50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88 337,00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1 041 475.33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275 123.13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195 788.83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192 151.15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189 206,11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189 206,11</w:t>
            </w:r>
          </w:p>
        </w:tc>
      </w:tr>
      <w:tr w:rsidR="00E31EF9" w:rsidTr="00E31EF9">
        <w:trPr>
          <w:trHeight w:val="2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3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– до 100 %.</w:t>
            </w:r>
            <w:proofErr w:type="gramEnd"/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      </w:r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 к 2022 году до 39,01 %</w:t>
            </w:r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к концу 2022 года – 100 %</w:t>
            </w:r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      </w:r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      </w:r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многоквартирных домов, соответствующих нормальному классу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энергетической эффективности и выше (А, B, C и D) к концу 2022 года – 175 ед.</w:t>
            </w:r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к концу 2022 года – до 9,79 %</w:t>
            </w:r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 к концу 2022 года –   2,39 %</w:t>
            </w:r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Удельный расход электрической энергии, используемой при передаче тепловой энергии в системах теплоснабжения к концу 2022 года – 0,02 Киловатт в час на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 к концу 2022 года – 0,73 киловатт-час/кв. м</w:t>
            </w:r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      </w:r>
            <w:proofErr w:type="gramEnd"/>
          </w:p>
          <w:p w:rsidR="00E31EF9" w:rsidRDefault="00E31EF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76" w:right="27" w:firstLine="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 – до 100 % к 2022 году</w:t>
            </w:r>
          </w:p>
          <w:p w:rsidR="00E31EF9" w:rsidRDefault="00E31EF9">
            <w:pPr>
              <w:pStyle w:val="af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6" w:lineRule="auto"/>
              <w:ind w:left="76" w:right="27" w:firstLine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 100 % ежегодно.</w:t>
            </w:r>
          </w:p>
        </w:tc>
      </w:tr>
    </w:tbl>
    <w:p w:rsidR="00E31EF9" w:rsidRDefault="00E31EF9" w:rsidP="00E31E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31EF9" w:rsidRDefault="00E31EF9" w:rsidP="00E31EF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Характеристика текущего состояния сферы реализации муниципальной программы</w:t>
      </w:r>
    </w:p>
    <w:p w:rsidR="00E31EF9" w:rsidRDefault="00E31EF9" w:rsidP="00E31EF9">
      <w:pPr>
        <w:autoSpaceDE w:val="0"/>
        <w:autoSpaceDN w:val="0"/>
        <w:adjustRightInd w:val="0"/>
        <w:ind w:left="1262"/>
        <w:rPr>
          <w:rFonts w:ascii="Arial" w:eastAsia="Times New Roman" w:hAnsi="Arial" w:cs="Arial"/>
          <w:b/>
          <w:bCs/>
          <w:sz w:val="24"/>
          <w:szCs w:val="24"/>
        </w:rPr>
      </w:pP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Рост цен на топливо, возрастающие затраты на обслуживание изношенного оборудования приводят к повышению расходов на энергообеспечение жилых домов, учреждений социальной сферы, увеличению тарифов на энергоресурсы. Это обуславливает необходимость экономии топливно-энергетических ресурсов и проведения единой политики энергосбережения.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</w:p>
    <w:p w:rsidR="00E31EF9" w:rsidRDefault="00E31EF9" w:rsidP="00E31EF9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Общая характеристика в сфере энергосбережения жилищно-коммунального хозяйства</w:t>
      </w:r>
    </w:p>
    <w:p w:rsidR="00E31EF9" w:rsidRDefault="00E31EF9" w:rsidP="00E31EF9">
      <w:pPr>
        <w:autoSpaceDE w:val="0"/>
        <w:autoSpaceDN w:val="0"/>
        <w:adjustRightInd w:val="0"/>
        <w:spacing w:line="240" w:lineRule="auto"/>
        <w:ind w:firstLine="90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E31EF9" w:rsidRDefault="00E31EF9" w:rsidP="00E31EF9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lastRenderedPageBreak/>
        <w:t>Основными предприятиями городского округа Люберцы, осуществляющими деятельность в сфере жилищно-коммунального хозяйства, являются</w:t>
      </w:r>
      <w:r>
        <w:rPr>
          <w:rFonts w:ascii="Arial" w:eastAsia="Times New Roman" w:hAnsi="Arial" w:cs="Arial"/>
          <w:sz w:val="24"/>
          <w:szCs w:val="24"/>
        </w:rPr>
        <w:t>: АО «Люберецкая теплосеть», АО «</w:t>
      </w:r>
      <w:r>
        <w:rPr>
          <w:rFonts w:ascii="Arial" w:eastAsia="Times New Roman" w:hAnsi="Arial" w:cs="Arial"/>
          <w:color w:val="000000"/>
          <w:sz w:val="24"/>
          <w:szCs w:val="24"/>
        </w:rPr>
        <w:t>Люберецкий Водоканал»,  АО «Люберецкий городской жилищный трест».</w:t>
      </w:r>
    </w:p>
    <w:p w:rsidR="00E31EF9" w:rsidRDefault="00E31EF9" w:rsidP="00E31EF9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Cs/>
          <w:sz w:val="24"/>
          <w:szCs w:val="24"/>
        </w:rPr>
        <w:t xml:space="preserve">По состоянию на 01.12.2018 г. на территории городского округа Люберцы Московской области находятся 2081 ед. многоквартирных домов, 81 ед. котельные, 275,1 км тепловых сетей в двухтрубном исчислении, 30 водозаборных узлов, 41 насосных станций, 385,2 км сетей водоснабжения, 386,6 км сетей канализации, 803 ед. трансформаторных подстанций. </w:t>
      </w:r>
    </w:p>
    <w:p w:rsidR="00E31EF9" w:rsidRDefault="00E31EF9" w:rsidP="00E31EF9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По состоянию на 01.12.2018 почти 100% жилых домов на территории округа оснащены общедомовыми приборами учета энергоресурсов; практически в половине домов, обслуживаемых АО «ЛГЖТ», произведена замена окон в подъездах </w:t>
      </w:r>
      <w:proofErr w:type="gramStart"/>
      <w:r>
        <w:rPr>
          <w:rFonts w:ascii="Arial" w:eastAsia="Times New Roman" w:hAnsi="Arial" w:cs="Arial"/>
          <w:bCs/>
          <w:sz w:val="24"/>
          <w:szCs w:val="24"/>
        </w:rPr>
        <w:t>на</w:t>
      </w:r>
      <w:proofErr w:type="gramEnd"/>
      <w:r>
        <w:rPr>
          <w:rFonts w:ascii="Arial" w:eastAsia="Times New Roman" w:hAnsi="Arial" w:cs="Arial"/>
          <w:bCs/>
          <w:sz w:val="24"/>
          <w:szCs w:val="24"/>
        </w:rPr>
        <w:t xml:space="preserve"> пластиковые (энергосберегающие).</w:t>
      </w:r>
    </w:p>
    <w:p w:rsidR="00E31EF9" w:rsidRDefault="00E31EF9" w:rsidP="00E31EF9">
      <w:pPr>
        <w:autoSpaceDE w:val="0"/>
        <w:autoSpaceDN w:val="0"/>
        <w:adjustRightInd w:val="0"/>
        <w:spacing w:after="0" w:line="240" w:lineRule="auto"/>
        <w:ind w:firstLine="902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E31EF9" w:rsidRDefault="00E31EF9" w:rsidP="00E31EF9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Общая характеристика энергосбережения в учреждениях бюджетной сферы и основные проблемы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left="127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31EF9" w:rsidRDefault="00E31EF9" w:rsidP="00E31EF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По состоянию 01.12.2018 года в ведении муниципального образования городской округ Люберцы Московской области находятся 145 муниципальных учреждения, в том числе:</w:t>
      </w:r>
      <w:proofErr w:type="gramEnd"/>
    </w:p>
    <w:p w:rsidR="00E31EF9" w:rsidRDefault="00E31EF9" w:rsidP="00E31EF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113 учреждений образования;</w:t>
      </w:r>
    </w:p>
    <w:p w:rsidR="00E31EF9" w:rsidRDefault="00E31EF9" w:rsidP="00E31EF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17 учреждений культуры;</w:t>
      </w:r>
    </w:p>
    <w:p w:rsidR="00E31EF9" w:rsidRDefault="00E31EF9" w:rsidP="00E31EF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9 учреждений физической культуры и спорта; </w:t>
      </w:r>
    </w:p>
    <w:p w:rsidR="00E31EF9" w:rsidRDefault="00E31EF9" w:rsidP="00E31EF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 учреждение по работе с молодежью;</w:t>
      </w:r>
    </w:p>
    <w:p w:rsidR="00E31EF9" w:rsidRDefault="00E31EF9" w:rsidP="00E31EF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 учреждений администрации.</w:t>
      </w:r>
    </w:p>
    <w:p w:rsidR="00E31EF9" w:rsidRDefault="00E31EF9" w:rsidP="00E31EF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2018 года все муниципальные учреждения городского округа Люберцы оснащены приборами учета энергетических ресурсов.</w:t>
      </w:r>
    </w:p>
    <w:p w:rsidR="00E31EF9" w:rsidRDefault="00E31EF9" w:rsidP="00E31EF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</w:rPr>
        <w:t xml:space="preserve">В настоящее время в бюджетной сфере округа существует ряд проблем: </w:t>
      </w:r>
    </w:p>
    <w:p w:rsidR="00E31EF9" w:rsidRDefault="00E31EF9" w:rsidP="00E31EF9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E31EF9" w:rsidRDefault="00E31EF9" w:rsidP="00E31EF9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E31EF9" w:rsidRDefault="00E31EF9" w:rsidP="00E31EF9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отсутствие пропаганды энергосбережения и условий, его стимулирующих. </w:t>
      </w:r>
    </w:p>
    <w:p w:rsidR="00E31EF9" w:rsidRDefault="00E31EF9" w:rsidP="00E31EF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E31EF9" w:rsidRDefault="00E31EF9" w:rsidP="00E31EF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  выявления потенциала энергосбережения;</w:t>
      </w:r>
    </w:p>
    <w:p w:rsidR="00E31EF9" w:rsidRDefault="00E31EF9" w:rsidP="00E31EF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  определения основных энергосберегающих мероприятий;</w:t>
      </w:r>
    </w:p>
    <w:p w:rsidR="00E31EF9" w:rsidRDefault="00E31EF9" w:rsidP="00E31EF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- определения объектов бюджетной сферы, где необходимо первоочередное проведение энергосберегающих мероприятий;</w:t>
      </w:r>
    </w:p>
    <w:p w:rsidR="00E31EF9" w:rsidRDefault="00E31EF9" w:rsidP="00E31EF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E31EF9" w:rsidRDefault="00E31EF9" w:rsidP="00E31EF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На основе результатов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E31EF9" w:rsidRDefault="00E31EF9" w:rsidP="00E31EF9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В соответствии с Распоряжением Правительства РФ от 13.05.2013 №767-р «О регулировании отношений в сфере использования газового моторного топлива» город Люберцы входит в число 17 городов Подмосковья с численностью населения свыше 100 тыс. человек, где к 2020 г. планируется перевод до 10% общественного и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дорожно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- коммунального транспорта на использование газомоторного топлива.</w:t>
      </w:r>
    </w:p>
    <w:p w:rsidR="00E31EF9" w:rsidRDefault="00E31EF9" w:rsidP="00E31EF9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Преимущества данного вида топлива перед бензином и дизельным топливом:</w:t>
      </w:r>
    </w:p>
    <w:p w:rsidR="00E31EF9" w:rsidRDefault="00E31EF9" w:rsidP="00E31EF9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низкая стоимость,</w:t>
      </w:r>
    </w:p>
    <w:p w:rsidR="00E31EF9" w:rsidRDefault="00E31EF9" w:rsidP="00E31EF9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увеличение ресурса работы двигателя за счет более медленного изнашивания,</w:t>
      </w:r>
    </w:p>
    <w:p w:rsidR="00E31EF9" w:rsidRDefault="00E31EF9" w:rsidP="00E31EF9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- высокая степень экологической безопасности.</w:t>
      </w:r>
    </w:p>
    <w:p w:rsidR="00E31EF9" w:rsidRDefault="00E31EF9" w:rsidP="00E31EF9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Однако конструктивные особенности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автотехники требуют реконструкции транспортных предприятий. Кроме того, необходимо строительство декомпрессионных пунктов для хранения газовых баллонов.</w:t>
      </w:r>
    </w:p>
    <w:p w:rsidR="00E31EF9" w:rsidRDefault="00E31EF9" w:rsidP="00E31EF9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В настоящее время заправка газовым топливом осуществляется не на всех автозаправочных станциях. В перспективе газозаправочной аппаратурой оборудуют все АЗС. Кроме того, вблизи автотранспортных предприятий планируется создание дополнительных газозаправочных станций.</w:t>
      </w:r>
    </w:p>
    <w:p w:rsidR="00E31EF9" w:rsidRDefault="00E31EF9" w:rsidP="00E31EF9">
      <w:pPr>
        <w:tabs>
          <w:tab w:val="left" w:pos="35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 xml:space="preserve">Учитывая вышесказанное, переход на использование </w:t>
      </w:r>
      <w:proofErr w:type="spellStart"/>
      <w:r>
        <w:rPr>
          <w:rFonts w:ascii="Arial" w:eastAsia="Times New Roman" w:hAnsi="Arial" w:cs="Arial"/>
          <w:sz w:val="24"/>
          <w:szCs w:val="24"/>
          <w:lang w:eastAsia="en-US"/>
        </w:rPr>
        <w:t>газотопливной</w:t>
      </w:r>
      <w:proofErr w:type="spell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техники в городском округе Люберцы планируется на 2019 год.</w:t>
      </w:r>
    </w:p>
    <w:p w:rsidR="00E31EF9" w:rsidRDefault="00E31EF9" w:rsidP="00E31EF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Программы позволит:</w:t>
      </w:r>
    </w:p>
    <w:p w:rsidR="00E31EF9" w:rsidRDefault="00E31EF9" w:rsidP="00E31EF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полностью оснастить муниципальные учреждения социальной сферы приборами учета энергоресурсов;</w:t>
      </w:r>
    </w:p>
    <w:p w:rsidR="00E31EF9" w:rsidRDefault="00E31EF9" w:rsidP="00E31EF9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обеспечить проведение энергетической паспортизации всех учреждений социальной сферы;</w:t>
      </w:r>
    </w:p>
    <w:p w:rsidR="00E31EF9" w:rsidRDefault="00E31EF9" w:rsidP="00E31EF9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перевести частично транспортные средства на газовое топливо.</w:t>
      </w:r>
    </w:p>
    <w:p w:rsidR="00E31EF9" w:rsidRDefault="00E31EF9" w:rsidP="00E31EF9">
      <w:pPr>
        <w:pStyle w:val="af2"/>
        <w:numPr>
          <w:ilvl w:val="0"/>
          <w:numId w:val="6"/>
        </w:num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Цели и задачи муниципальной программы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E31EF9" w:rsidRDefault="00E31EF9" w:rsidP="00E31EF9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 Муниципальной программы - 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энергоресурсов.</w:t>
      </w:r>
    </w:p>
    <w:p w:rsidR="00E31EF9" w:rsidRDefault="00E31EF9" w:rsidP="00E31EF9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Достижение поставленной цели позволит достичь: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E31EF9" w:rsidRDefault="00E31EF9" w:rsidP="00E31EF9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Повышение энергетической эффективности в бюджетной сфере.2. Повышение энергетической эффективности в жилищном фонде.</w:t>
      </w:r>
      <w:r>
        <w:rPr>
          <w:rFonts w:ascii="Arial" w:hAnsi="Arial" w:cs="Arial"/>
          <w:sz w:val="24"/>
          <w:szCs w:val="24"/>
        </w:rPr>
        <w:tab/>
      </w:r>
    </w:p>
    <w:p w:rsidR="00E31EF9" w:rsidRDefault="00E31EF9" w:rsidP="00E31EF9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 Повышение энергетической эффективности в системах коммунальной инфраструктуры.</w:t>
      </w:r>
    </w:p>
    <w:p w:rsidR="00E31EF9" w:rsidRDefault="00E31EF9" w:rsidP="00E31EF9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Повышение энергетической эффективности систем наружного освещения.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E31EF9" w:rsidRDefault="00E31EF9" w:rsidP="00E31EF9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Повышение энергетической эффективности на территории городского округа.</w:t>
      </w:r>
    </w:p>
    <w:p w:rsidR="00E31EF9" w:rsidRDefault="00E31EF9" w:rsidP="00E31EF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>Прогноз развития системы энергосбережения и повышения энергетической эффективности в бюджетной сфере городского округа Люберцы с учетом реализации муниципальной программы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Реализация муниципальной программы направлена на выполнение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 установку приборов учета потребления энергоресурсов;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 проведение энергетического обследования;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-  замену ламп накаливания </w:t>
      </w: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на</w:t>
      </w:r>
      <w:proofErr w:type="gram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энергосберегающие;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ab/>
        <w:t>- перевод транспортных средств, используемых администрацией городского округа Люберцы, на потребление в качестве моторного топлива природного газа.</w:t>
      </w:r>
      <w:r>
        <w:rPr>
          <w:rFonts w:ascii="Arial" w:eastAsia="Times New Roman" w:hAnsi="Arial" w:cs="Arial"/>
          <w:sz w:val="24"/>
          <w:szCs w:val="24"/>
          <w:lang w:eastAsia="en-US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</w:rPr>
        <w:t>Перечень программных мероприятий приведен в приложении № 1 к настоящей Программе.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31EF9" w:rsidRDefault="00E31EF9" w:rsidP="00E31EF9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Перечень подпрограмм муниципальной программы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Подпрограммы отсутствуют.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31EF9" w:rsidRDefault="00E31EF9" w:rsidP="00E31EF9">
      <w:pPr>
        <w:pStyle w:val="af2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Обобщенная характеристика основных мероприятий программы с обоснованием их осуществления.</w:t>
      </w:r>
    </w:p>
    <w:p w:rsidR="00E31EF9" w:rsidRDefault="00E31EF9" w:rsidP="00E31EF9">
      <w:pPr>
        <w:pStyle w:val="af2"/>
        <w:widowControl w:val="0"/>
        <w:autoSpaceDE w:val="0"/>
        <w:autoSpaceDN w:val="0"/>
        <w:adjustRightInd w:val="0"/>
        <w:ind w:left="1778"/>
        <w:outlineLvl w:val="1"/>
        <w:rPr>
          <w:rFonts w:ascii="Arial" w:eastAsia="Times New Roman" w:hAnsi="Arial" w:cs="Arial"/>
          <w:b/>
        </w:rPr>
      </w:pP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 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Выполнение основных  мероприятий позволит увеличить: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 xml:space="preserve">-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– до 100 % </w:t>
      </w:r>
      <w:r>
        <w:rPr>
          <w:rFonts w:ascii="Arial" w:eastAsia="Times New Roman" w:hAnsi="Arial" w:cs="Arial"/>
          <w:sz w:val="24"/>
          <w:szCs w:val="24"/>
          <w:lang w:val="en-US"/>
        </w:rPr>
        <w:t>r</w:t>
      </w:r>
      <w:r>
        <w:rPr>
          <w:rFonts w:ascii="Arial" w:eastAsia="Times New Roman" w:hAnsi="Arial" w:cs="Arial"/>
          <w:sz w:val="24"/>
          <w:szCs w:val="24"/>
        </w:rPr>
        <w:t xml:space="preserve"> 2019 году.</w:t>
      </w:r>
      <w:proofErr w:type="gramEnd"/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- Долю </w:t>
      </w:r>
      <w:proofErr w:type="gramStart"/>
      <w:r>
        <w:rPr>
          <w:rFonts w:ascii="Arial" w:eastAsia="Times New Roman" w:hAnsi="Arial" w:cs="Arial"/>
          <w:sz w:val="24"/>
          <w:szCs w:val="24"/>
        </w:rPr>
        <w:t>ответственных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за энергосбережение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кону 2022 года до 35,35 %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Сократить  уровень  износа электросетевого хозяйства систем наружного освещения с применением СИП и высокоэффективных светильников к 2022 году до 39,01 %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(показатель Бережливый учет) к концу 2022 года – 100 %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Долю многоквартирных домов, оснащенных приборами учета потребляемых энергетических ресурсов к концу 2022 года – 100 %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2022 года – до 50 %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Количество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 к концу 2022 года – 1 ед.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Количество многоквартирных домов, соответствующих нормальному классу энергетической эффективности и выше (А, B, C и D) к концу 2022 года – 175 ед.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- 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 к концу 2022 года – 1 ед.</w:t>
      </w:r>
      <w:proofErr w:type="gramEnd"/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А также, добиться  снижения  потери энергии при производстве тепловой энергии и организации водоснабжения.</w:t>
      </w:r>
    </w:p>
    <w:p w:rsidR="00E31EF9" w:rsidRDefault="00E31EF9" w:rsidP="00E31EF9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E31EF9" w:rsidRDefault="00E31EF9" w:rsidP="00E31EF9">
      <w:pPr>
        <w:widowControl w:val="0"/>
        <w:autoSpaceDE w:val="0"/>
        <w:autoSpaceDN w:val="0"/>
        <w:adjustRightInd w:val="0"/>
        <w:ind w:left="568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6. Порядок взаимодействия ответственных за выполнение мероприятий программы с заказчиком муниципальной программы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реализацией программы осуществляет администрация городского округа. Реализация основных мероприятий осуществляется в соответствии  с утвержденными дорожными картами.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en-US"/>
        </w:rPr>
        <w:t xml:space="preserve">С целью контроля реализации Подпрограммы исполнители мероприятий Подпрограммы и заказчик предоставляют оперативные  и итоговые отчеты  о реализации соответствующих мероприятий Подпрограммы в соответствии  с Порядком принятия решений о разработке муниципальных программ городского округа Люберцы, их формированию  и реализации, утвержденным Постановлением администрации муниципального образования городской округ Люберцы Московской области от </w:t>
      </w:r>
      <w:r>
        <w:rPr>
          <w:rFonts w:ascii="Arial" w:eastAsia="Times New Roman" w:hAnsi="Arial" w:cs="Arial"/>
          <w:sz w:val="24"/>
          <w:szCs w:val="24"/>
          <w:lang w:eastAsia="en-US"/>
        </w:rPr>
        <w:lastRenderedPageBreak/>
        <w:t>20.09.2018 № 3715-ПА «Об утверждении Порядка принятия решений о разработке муниципальных программ городского</w:t>
      </w:r>
      <w:proofErr w:type="gramEnd"/>
      <w:r>
        <w:rPr>
          <w:rFonts w:ascii="Arial" w:eastAsia="Times New Roman" w:hAnsi="Arial" w:cs="Arial"/>
          <w:sz w:val="24"/>
          <w:szCs w:val="24"/>
          <w:lang w:eastAsia="en-US"/>
        </w:rPr>
        <w:t xml:space="preserve"> округа Люберцы, их формирования и реализации».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t>Для формирования отчётов и аналитических материалов о реализации программы исполнители мероприятий и заказчик программы руководствуются методикой расчета показателей эффективности реализации  программы, приведенной в Приложении № 3 к настоящей программе.</w:t>
      </w: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E31EF9" w:rsidRDefault="00E31EF9" w:rsidP="00E31EF9">
      <w:pPr>
        <w:pStyle w:val="af2"/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Состав, форма и сроки предоставления отчетности</w:t>
      </w:r>
    </w:p>
    <w:p w:rsidR="00E31EF9" w:rsidRDefault="00E31EF9" w:rsidP="00E31EF9">
      <w:pPr>
        <w:pStyle w:val="af2"/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</w:rPr>
      </w:pPr>
    </w:p>
    <w:p w:rsidR="00E31EF9" w:rsidRDefault="00E31EF9" w:rsidP="00E31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Заполнение отчетных формы </w:t>
      </w:r>
      <w:proofErr w:type="gramStart"/>
      <w:r>
        <w:rPr>
          <w:rFonts w:ascii="Arial" w:hAnsi="Arial" w:cs="Arial"/>
          <w:sz w:val="24"/>
          <w:szCs w:val="24"/>
        </w:rPr>
        <w:t>в ГАС</w:t>
      </w:r>
      <w:proofErr w:type="gramEnd"/>
      <w:r>
        <w:rPr>
          <w:rFonts w:ascii="Arial" w:hAnsi="Arial" w:cs="Arial"/>
          <w:sz w:val="24"/>
          <w:szCs w:val="24"/>
        </w:rPr>
        <w:t xml:space="preserve"> «Управление», по запросу Министерств.</w:t>
      </w:r>
    </w:p>
    <w:p w:rsidR="00E31EF9" w:rsidRDefault="00E31EF9" w:rsidP="00E31E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1EF9" w:rsidRDefault="00E31EF9" w:rsidP="00E31EF9">
      <w:pPr>
        <w:ind w:left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 Финансирование муниципальной программы</w:t>
      </w:r>
    </w:p>
    <w:p w:rsidR="00E31EF9" w:rsidRDefault="00E31EF9" w:rsidP="00E31EF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реализации муниципальной программы осуществляется  за счет бюджета Московской области, бюджета городского округа Люберцы, внебюджетных источников.</w:t>
      </w:r>
    </w:p>
    <w:p w:rsidR="00E31EF9" w:rsidRDefault="00E31EF9" w:rsidP="00E31EF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в Московской области и наличия сре</w:t>
      </w:r>
      <w:proofErr w:type="gramStart"/>
      <w:r>
        <w:rPr>
          <w:rFonts w:ascii="Arial" w:hAnsi="Arial" w:cs="Arial"/>
          <w:sz w:val="24"/>
          <w:szCs w:val="24"/>
        </w:rPr>
        <w:t>дств в б</w:t>
      </w:r>
      <w:proofErr w:type="gramEnd"/>
      <w:r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E31EF9" w:rsidRDefault="00E31EF9" w:rsidP="00E31E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1EF9" w:rsidRDefault="00E31EF9" w:rsidP="00E31EF9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Приложение № 1</w:t>
      </w:r>
    </w:p>
    <w:p w:rsidR="00E31EF9" w:rsidRDefault="00E31EF9" w:rsidP="00E31EF9">
      <w:pPr>
        <w:autoSpaceDE w:val="0"/>
        <w:autoSpaceDN w:val="0"/>
        <w:adjustRightInd w:val="0"/>
        <w:spacing w:after="0" w:line="240" w:lineRule="auto"/>
        <w:ind w:left="27" w:right="2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 Постановлению администрации</w:t>
      </w:r>
    </w:p>
    <w:p w:rsidR="00E31EF9" w:rsidRDefault="00E31EF9" w:rsidP="00E31EF9">
      <w:pPr>
        <w:autoSpaceDE w:val="0"/>
        <w:autoSpaceDN w:val="0"/>
        <w:adjustRightInd w:val="0"/>
        <w:spacing w:after="0" w:line="240" w:lineRule="auto"/>
        <w:ind w:left="28" w:right="28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городского округа Люберцы</w:t>
      </w:r>
    </w:p>
    <w:p w:rsidR="00E31EF9" w:rsidRDefault="00E31EF9" w:rsidP="00E31EF9">
      <w:pPr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Московской области</w:t>
      </w:r>
      <w:r>
        <w:rPr>
          <w:rFonts w:ascii="Arial" w:hAnsi="Arial" w:cs="Arial"/>
          <w:color w:val="000000"/>
          <w:sz w:val="24"/>
          <w:szCs w:val="24"/>
        </w:rPr>
        <w:br/>
        <w:t>от 07.02.2019  № 446-ПА</w:t>
      </w:r>
    </w:p>
    <w:p w:rsidR="00E31EF9" w:rsidRDefault="00E31EF9" w:rsidP="00E31EF9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Перечень мероприятий муниципальной программы «Энергосбережение и повышение энергетической эффективности в городском округе Люберцы Московской области»</w:t>
      </w:r>
    </w:p>
    <w:tbl>
      <w:tblPr>
        <w:tblW w:w="48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2011"/>
        <w:gridCol w:w="1367"/>
        <w:gridCol w:w="1100"/>
        <w:gridCol w:w="1504"/>
        <w:gridCol w:w="866"/>
        <w:gridCol w:w="825"/>
        <w:gridCol w:w="860"/>
        <w:gridCol w:w="825"/>
        <w:gridCol w:w="825"/>
        <w:gridCol w:w="866"/>
        <w:gridCol w:w="1280"/>
        <w:gridCol w:w="1851"/>
      </w:tblGrid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Мероприятия по реализации программы/подпрограммы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4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Объём финансирования мероприятия в году предшествующему году </w:t>
            </w:r>
            <w:r>
              <w:rPr>
                <w:rFonts w:ascii="Arial" w:eastAsia="Times New Roman" w:hAnsi="Arial" w:cs="Arial"/>
                <w:lang w:eastAsia="en-US"/>
              </w:rPr>
              <w:lastRenderedPageBreak/>
              <w:t xml:space="preserve">начала реализации муниципальной программы (тыс. руб.) 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ind w:left="-57" w:right="-57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209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lang w:eastAsia="en-US"/>
              </w:rPr>
              <w:t xml:space="preserve"> за выполнение мероприятия программы</w:t>
            </w:r>
            <w:r>
              <w:rPr>
                <w:rFonts w:ascii="Arial" w:eastAsia="Times New Roman" w:hAnsi="Arial" w:cs="Arial"/>
                <w:lang w:eastAsia="en-US"/>
              </w:rPr>
              <w:lastRenderedPageBreak/>
              <w:t>/ подпрограммы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lastRenderedPageBreak/>
              <w:t>Результаты выполнения мероприятия программы/</w:t>
            </w:r>
          </w:p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подпрограммы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</w:t>
            </w: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 Основное мероприятие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5 265.00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5 265.00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1.1 Установка автоматизированного узла управления системой отопления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Доля зданий, строений, сооружений муниципальной собственности, соответствующ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, С, D) к концу 2022 года - до 51,20 %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5 265.00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t>3 000.</w:t>
            </w: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lastRenderedPageBreak/>
              <w:t>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3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t>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5 265.00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t>3 000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t>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3 000.00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t>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 Основное мероприятие "Предоставление информации в государственные и региональные информационные системы в области энергосбережения в бюджетной сфере"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2.1 Предоставление информации муниципальными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учреждениями в информационные системы в области энергосбережения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Заполнение информации в ГИС "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Энергоэффект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ивность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" - 100% муниципальных учреждений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 Основное мероприятие "Проведение мероприятий, направленных на повышение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зданий (в бюджетной сфере)"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3.1 Координация мероприятий по повышению энергетической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эффективности объектов бюджетной сферы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Доля зданий, строений, сооружений муниципальной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, С, D) к концу 2022 года - до 51,20 %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Основное мероприятие "Модернизация систем освещения в муниципальных учреждениях"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6 200.00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2 500.00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6 200.00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4.1 Установка светодиодных светильников (в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том числе демонтаж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неэнергосберегающих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светильников)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Доля зданий, строений, сооружений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, С, D) к концу 2022 года - до 51,20 %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6 200.00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2 500.00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2 500.00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6 200.00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2 000.00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Основное мероприятие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150.00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150.00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5.1 Установка автоматизирован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ных систем диспетчеризации, контроля и учета потребляемых энергетических ресурсов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Администрация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Увеличение доли приборов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учета энергетических ресурсов в общем объеме приборов учета энергетических ресурсов, охваченных автоматизированных системами контроля учета энергетических ресурсов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(А,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>, С, D) к концу 2022 года - до 51,20 %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150.00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150.00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6  Основное мероприятие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"Обеспечение учета используемых энергетических ресурсов в жилищном фонде"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Администрация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36 674.00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4 750.00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2 750.00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8 500.00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45 174.00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4 750.00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2 750.00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6.1 Оснащение коллективными (общедомовыми) приборами учета тепловой энергии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Увеличение доли многоквартирных домов, оснащенных общедомовыми приборами учета потребляемых тепловой энергии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20 274.00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20 274.00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6.2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6.2  Оснащение индивидуальными приборами учета воды в многоквартирных жилых домах  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Уменьшение удельного суммарного расхода энергетических ресурсов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на 1 кв. метр общей площади)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16 400.00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2 150.00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16 400.00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2 150.00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7 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технологий при реконструкции и капитальном ремонте в жилищном фонде"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63 792.00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51 352.00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12 528.00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10 392.00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9 842.00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9 295.00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9 295.00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63 792.00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51 352.00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12 528.00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10 392.00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9 842.00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9 295.00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9 295.00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7.1 Установка доводчиков входных дверей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на 1 кв. метр общей площади)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341.00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356.00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69.00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75.00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341.00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356.00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69.00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75.00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7.2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7.2 Замена оконных блоков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на 1 кв. метр общей площади)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3 030.00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590.00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620.00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3 030.00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3 110.00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590.00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620.00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7.3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7.3 Тепловая изоляция трубопроводов в ЦО, ГВС в подвалах, на чердаках 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на 1 кв. метр общей площади)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8 230.00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8 540.00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1 700.00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1 750.00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1 770.00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1 770.00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8 230.00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8 540.00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1 550.00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1 700.00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1 750.00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1 770.00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1 770.00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7.4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7.4  Усиление теплозащиты стен и перекрытий 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на 1 кв. метр общей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площади)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12 391.00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2 246.00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1 423.00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12 391.00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2 246.00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1 423.00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223.00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7.5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7.5 Замена стального трубопровода ХВС, ГВС, ЦО на полипропиленовый трубопровод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Уменьшение удельного суммарного расхода тепловой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на 1 кв. метр общей площади)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39 800.00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37 100.00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8 900.00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7 800.00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7 200.00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6 600.00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6 600.00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39 800.00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37 100.00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8 900.00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7 800.00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7 200.00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6 600.00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6 600.00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8 Основное мероприятие "Модернизация систем освещения в местах общего пользования многоквартирных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домов"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20 647.22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19 353.92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4 411.80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4 173.12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3 825.00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3 472.00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3 472.00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20 647.22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19 353.92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4 411.80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4 173.12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3 825.00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3 472.00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3 472.00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8.1 Внедрение энергосберегающих светильников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энергоэкономических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>) на лестничных клетках жилых домов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на 1 кв. метр общей площади)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16 066.00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14 865.00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3 475.00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3 258.00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2 932.00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16 066.00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14 865.00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3 475.00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3 258.00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2 932.00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2 600.00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8.2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8.2 Внедрение энергосберегающих светильников (светодиодных) на лестничных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клетках жилых домов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Снижение удельного расхода электрической энергии в многоквартирн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на 1 кв. метр общей площади)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1 441.22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1 298.92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316.80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285.12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253.00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222.00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222.00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1 441.22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1 298.92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316.80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285.12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253.00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222.00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222.00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8.3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8.3 Внедрение энергосберегающих светильников (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энергоэкономических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и светодиодных) в подъездах и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лесничных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клетках жилых домов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Снижение удельного расхода электрической энергии в многоквартирных домах (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расчета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на 1 кв. метр общей площади)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3 140.00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3 190.00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620.00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3 140.00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3 190.00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620.00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630.00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640.00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9 Основное мероприятие "Проведение мероприятий,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направленных на повышение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в МКД"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9.1  Проведение организационных мероприятий с лицами ответственными за содержание МКД, по предоставлению деклараций в ГЖИ МО с целью установления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МКД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Увеличение количества многоквартирных домов,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и выше (А, B.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C и D)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10 Основное мероприятие "Обеспечение учета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используемых энергетических ресурсов на объектах коммунальной инфраструктуры"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Снижение удельного расхода топлива на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выработку тепловой энергии на котельных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6 000.00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6 000.00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6 000.00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6 000.00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10.1 Установка приборов учета  энергетических ресурсов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6 000.00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6 000.00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6 000.00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6 000.00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11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технологий в системах водоснабжения и водоотведения"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Снижение удельного расхода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электрической энергии, используемой для передачи (транспортировки) воды в системах водоснабжения (на 1 куб. метр).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>Снижение доли потерь воды при ее передаче в общем объеме переданной воды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12 790.00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9 710.00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4 670.00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4 750.00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12 790.00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9 710.00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4 670.00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4 750.00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11.1 Замена трубопроводов с применением труб многослойных ПНД 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Снижение доли потерь воды при ее передаче в общем объеме переданной воды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11 600.00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8 600.00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4 400.00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4 200.00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11 600.00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8 600.00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4 400.00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4 200.00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11.2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11.2 Замена преобразователя частоты насосов первого подъема ВНС 2-5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11.3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11.3 Замена преобразователя частоты насосов второго подъема ВНС 2-5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Снижение удельного расхода электрической энергии, используемой для передачи (транспортировки) воды в системах водоснабжения (на 1 куб.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метр).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350.00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350.00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11.4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11.4  Установка устрой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ств пл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авного пуска электродвигателя 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Снижение удельного расхода электрической энергии, используемой для передачи (транспортировки) воды в системах водоснабжения (на 1 куб. метр).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640.00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560.00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640.00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560.00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270.00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12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энергоэффектив-ных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технологий в системах отопления"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240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Снижение доли потерь тепловой энергии при ее передаче в общем объеме переданной тепловой энергии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391 870.00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385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420.00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92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420.00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72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73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74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74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391 870.00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385 420.00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92 420.00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73 000.00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74 000.00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74 000.00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12.1 Установка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энергоэффективного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оборудования с высоким коэффициентом полезного действия при модернизации котельных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Снижение удельного расхода топлива на выработку тепловой энергии на котельных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30 884.00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21 660.00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21 660.00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30 884.00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21 660.00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21 660.00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12.2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12.2 Замена и модернизация ветхих тепловых сетей с применением труб ППУ изоляции и  пластмассовых труб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Снижение удельного расхода топлива на выработку тепловой энергии на котельных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 xml:space="preserve">Снижение доли потерь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тепловой энергии при ее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передаче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в общем объем переданной тепловой энергии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360 986.00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363 760.00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70 760.00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73 000.00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74 000.00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74 000.00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360 986.00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363 760.00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70 760.00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72 000.00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73 000.00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74 000.00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74 000.00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13 Основное мероприятие "Применение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технологий в системах освещения на объектах коммунальной инфраструктуры"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430.00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430.00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13.1 Замена светильников с люминесцентными лампами в офисных помещениях на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светодиодные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Снижение удельного расхода электрической энергии, используемой в системах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водоотведения (на 1 куб. метр)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280.00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280.00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13.2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13.2 Замена уличных прожекторов на объектах на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светодиодные</w:t>
            </w:r>
            <w:proofErr w:type="gramEnd"/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Снижение удельного расхода электрической энергии, используемой в системах водоотведения (на 1 куб. метр)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150.00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150.00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14  Основное мероприятие "Повышение энергетической эффективности при использовании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моторного топлива"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Администрация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56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22.50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22.50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22.50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22.50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22.50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22.50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14.1  Замещение природным газом бензина, используемого транспортными средствами в качестве моторного топлива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Увеличение количества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энергетической эффективности, в том числе по замещению бензина и дизельного топлива,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22.50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22.50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22.50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22.50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22.50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22.50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15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 Основное мероприятие "Уличное освещение городского округа Люберцы"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 xml:space="preserve">Сокращение уровня износа электросетевого хозяйства систем наружного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освещения с применением СИП и высокоэффективных светильников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32 726.00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490 865.98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89 111.00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100189.11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101 187.65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100 189.11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100 189.11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32 726.00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490 865.98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89 111.00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100 189.11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101 187.65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100 189.11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116" w:right="-102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100 189.11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15.1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15.1 Обеспечение энергоснабжения линий уличного освещения городского округа Люберцы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316 114.38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51 822.00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65 823.46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66 822.00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65 823.46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65 823.46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316 114.38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51 822.00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65 823.46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66 822.00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65 823.46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65 823.46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15.2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15.2 Обеспечения текущего содержания линий уличного освещения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Сокращение уровня износа электросетевого хозяйства систем наружного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освещения с применением СИП и высокоэффективных светильников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29 726.00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165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907.60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30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445.00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33 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865.65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33 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865.65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33 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865.65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33 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865.65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29 726.00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165 907.60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30 445.00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33  865.65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33  865.65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33  865.65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33  865.65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15.3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15.3 Развитие сетей освещения городского округа Люберцы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Доля освещенных улиц, проездов, набережных, площадей с уровнем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3 000.00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t>6 344.0</w:t>
            </w: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lastRenderedPageBreak/>
              <w:t>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lastRenderedPageBreak/>
              <w:t xml:space="preserve">6 </w:t>
            </w: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lastRenderedPageBreak/>
              <w:t>344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t>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t>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t>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t>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t>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t>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3 000.00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6 344.00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6 344.00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15.4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15.4 Замена светильников наружного освещения улично-дорожной сети и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для внутридомового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энергосберегающие 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Сокращение уровня износа электросетевого хозяйства систем наружного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освещения с применением СИП и высокоэффективных светильников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2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500.00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2 500.00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  Основное мероприятие «Комплексное благоустройство дворовых территорий»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25 460.00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25 460.00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25 460.00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25 460.00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16.1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16.1 Освещение дворовых территорий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Средства бюджета Московско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01.01.2018 - 31.12.20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Доля освещенных улиц, проездов,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2022 года - до 100 %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25 460.00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25 460.00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25 460.00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25 460.00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 Основное мероприятие «Модернизация и устройство систем наружного освещения городского округа Люберцы в целях приведения уровня освещенности до нормативных значений»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19 035.17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19 035.17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Увеличение количества объектов электросетевого хозяйства, систем наружного и архитектурно-художественного освещения, на которых реализованы  мероприятия по устройству и капитальному ремонту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Доля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2019 года - до 100 %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  <w:proofErr w:type="gramEnd"/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17 719.46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17 719.46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36 </w:t>
            </w: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lastRenderedPageBreak/>
              <w:t>754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t>.</w:t>
            </w: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t>63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36 </w:t>
            </w: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lastRenderedPageBreak/>
              <w:t>754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t>.</w:t>
            </w:r>
            <w:r>
              <w:rPr>
                <w:rFonts w:ascii="Arial" w:eastAsia="Times New Roman" w:hAnsi="Arial" w:cs="Arial"/>
                <w:color w:val="000000"/>
                <w:lang w:val="en-US" w:eastAsia="en-US"/>
              </w:rPr>
              <w:t>63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17.1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19 035.17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19 035.17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Увеличение количества объектов электросетевого хозяйства, систем наружного и архитектурно-художественного освещения, на которых реализованы  мероприятия по устройству и капитальному ремонту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 xml:space="preserve">Доля освещенных улиц, проездов, набережных,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2019 года - до 100 %</w:t>
            </w:r>
            <w:proofErr w:type="gramEnd"/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12 219.46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12 219.46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31 254.63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31 254.63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17.2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17.2 Разработка Паспорта объектов наружного освещения городского округа Люберцы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Доведение до показателя "Светлый город" к 2019 г. до 100 %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5 500.00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5 500.00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18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 Основное мероприятие "Мероприятия по развитию и модернизации сетей освещения, проводимые за счет внебюджетных средств"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240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1 562.10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1 336.30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367.70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312.10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256.50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1 562.10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1 336.30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367.70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312.10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256.50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18.1  Замена светильников уличного освещения на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энергоэкономические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(светодиодные)</w:t>
            </w:r>
            <w:proofErr w:type="gramEnd"/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527.60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456.80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123.20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105.60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88.00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527.60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456.80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123.20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105.60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88.00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18.2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18.2 Установка фотореле (приборов «день-ночь») на пунктах включения уличного и дворового освещения, подъездного освещения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Увеличение доли современных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энергоэффективных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светильников в общем количестве светильников наружного освещения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127.50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105.00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127.50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105.00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25.00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18.3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18.3 Внедрение самонесущих изолированных проводов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 xml:space="preserve">Сокращение уровня износа электросетевого хозяйства систем наружного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освещения с применением СИП и высокоэффективных светильников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907.00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774.50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214.50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181.50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148.50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115.00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907.00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774.50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214.50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181.50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148.50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115.00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115.00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19 Основное мероприятие "Обучение, участие в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конгресс-выставочных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190.00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190.00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19.1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19.1 Обучение ответственных лиц в области энергосбережения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190.00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190.00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150.00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30.00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19.2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19.2 Реализация организационных мероприятий по энергосбережению и повышению энергетической эффективности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энергосбережение и повышение энергетической эффективности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19.3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19.3 Информационно-разъяснительная и методическая работа по вопросам энергосбережения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Увеличение доли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энергетической эффективности к концу 2022 года до 35,35 %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lastRenderedPageBreak/>
              <w:t>19.4</w:t>
            </w:r>
          </w:p>
        </w:tc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19.4 Назначение ответственных за энергосбережение в учреждениях и организациях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01.01.2018 - 31.12.2022 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к концу 2022 года до 35,35 %</w:t>
            </w: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 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Итого по программе</w:t>
            </w:r>
            <w:r>
              <w:rPr>
                <w:rFonts w:ascii="Arial" w:eastAsia="Times New Roman" w:hAnsi="Arial" w:cs="Arial"/>
                <w:color w:val="000000"/>
                <w:lang w:eastAsia="en-US"/>
              </w:rPr>
              <w:br/>
              <w:t>(подпрограмме)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31EF9" w:rsidRDefault="00E31EF9">
            <w:pPr>
              <w:ind w:left="-80" w:right="-143"/>
              <w:jc w:val="right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583</w:t>
            </w:r>
            <w:r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118,6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31EF9" w:rsidRDefault="00E31EF9">
            <w:pPr>
              <w:ind w:left="-80" w:right="-143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1 041 475.33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31EF9" w:rsidRDefault="00E31EF9">
            <w:pPr>
              <w:ind w:left="-80" w:right="-143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275 123.13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31EF9" w:rsidRDefault="00E31EF9">
            <w:pPr>
              <w:ind w:left="-80" w:right="-143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195 788.83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31EF9" w:rsidRDefault="00E31EF9">
            <w:pPr>
              <w:ind w:left="-80" w:right="-143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192 151.15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31EF9" w:rsidRDefault="00E31EF9">
            <w:pPr>
              <w:ind w:left="-80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189 206,11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31EF9" w:rsidRDefault="00E31EF9">
            <w:pPr>
              <w:ind w:left="-80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189 206,11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19 035.17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19 035.17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0.00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75 005.00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548 895,44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140420,46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102869.11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103 867.65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100 869.11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100 869,11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508113.60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473 544,72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115667,50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92 919,72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88 283,50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88 337.00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1EF9" w:rsidRDefault="00E31EF9">
            <w:pPr>
              <w:ind w:left="-57" w:right="-57"/>
              <w:jc w:val="right"/>
              <w:rPr>
                <w:rFonts w:ascii="Arial" w:eastAsia="Times New Roman" w:hAnsi="Arial" w:cs="Arial"/>
                <w:color w:val="00000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lang w:eastAsia="en-US"/>
              </w:rPr>
              <w:t>88 337.00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1EF9" w:rsidRDefault="00E31EF9">
            <w:pPr>
              <w:rPr>
                <w:rFonts w:ascii="Arial" w:eastAsia="Times New Roman" w:hAnsi="Arial" w:cs="Arial"/>
                <w:color w:val="000000"/>
                <w:lang w:eastAsia="en-US"/>
              </w:rPr>
            </w:pPr>
          </w:p>
        </w:tc>
      </w:tr>
    </w:tbl>
    <w:p w:rsidR="00E31EF9" w:rsidRDefault="00E31EF9" w:rsidP="00E31EF9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4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1427"/>
        <w:gridCol w:w="1419"/>
        <w:gridCol w:w="1409"/>
        <w:gridCol w:w="1276"/>
        <w:gridCol w:w="1134"/>
        <w:gridCol w:w="1418"/>
        <w:gridCol w:w="745"/>
        <w:gridCol w:w="956"/>
        <w:gridCol w:w="373"/>
        <w:gridCol w:w="619"/>
        <w:gridCol w:w="992"/>
        <w:gridCol w:w="851"/>
        <w:gridCol w:w="1842"/>
      </w:tblGrid>
      <w:tr w:rsidR="00E31EF9" w:rsidTr="00E31EF9">
        <w:trPr>
          <w:trHeight w:val="2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   </w:t>
            </w:r>
          </w:p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Приложение № 2 к  Постановлению администрации городского округа Люберцы Московской области</w:t>
            </w:r>
          </w:p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 07.02.2019 № 446-ПА</w:t>
            </w:r>
          </w:p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31EF9" w:rsidTr="00E31EF9">
        <w:trPr>
          <w:trHeight w:val="20"/>
        </w:trPr>
        <w:tc>
          <w:tcPr>
            <w:tcW w:w="147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 «Энергосбережение и повышение энергетической эффективности в городском округе Люберцы Московской области»</w:t>
            </w:r>
          </w:p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 xml:space="preserve">Цели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 xml:space="preserve">Задачи,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lastRenderedPageBreak/>
              <w:t>направленные на достижение цели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Планируемые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Тип показател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Единица измерен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Базовое значение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показателя (на начало реализации подпрограммы)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Номер Основного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мероприятия в Перечне мероприятий подпрограммы</w:t>
            </w:r>
          </w:p>
        </w:tc>
      </w:tr>
      <w:tr w:rsidR="00E31EF9" w:rsidTr="00E31EF9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F9" w:rsidRDefault="00E31E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систем наружного освещения.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44,51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43,41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42,31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41,21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39,01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15.2, 15.4, 15.3, 17.1, 18.1, 18.2, , 18.3</w:t>
            </w:r>
          </w:p>
          <w:p w:rsidR="00E31EF9" w:rsidRDefault="00E31EF9">
            <w:pPr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бюджетной сфере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5.1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жилищном фонде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Бережливый учет - Оснащенность многоквартирных домов приборами учета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82,30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86,60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93,30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6.1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бюджетной сфере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37,80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42,60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1.1, 3.1, 4.1, 5.1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Люберцы Московской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систем наружного освещения.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освещения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на которых реализованы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мероприятия по устройству и капитальному ремонту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Приоритетный целевой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17.1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учреждений, находящихся  в ведении муниципального образования городского  округа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на территории городского округа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и повышение энергетической эффективности, прошедших обучение по образовате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льным программам в  области энергосбережения и повышения энергетической эффективности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27,50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32,23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35,35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2.1,19.1,  19.2, 19.3, 19.4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жилищном фонде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Количество многоквартирных домов, соответствующих нормальному классу энергетической эффективности и выше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(А, B, C и 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104,00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127,00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6.2, 7.1, 7.2, 7.3, 7.4, 7.5, 8.1,8.2, 8.3, 9.1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системах коммунальной инфраструк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туры.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9,99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9,89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9,79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10, 10.1,12.2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в системах коммунальн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ой инфраструктуры.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потерь воды при ее передаче в общем объеме переданной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2,80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2,69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2,39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11.1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эффективности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Повышение энергетической эффективности в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системах коммунальной инфраструктуры.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Удельный расход электрической энергии, используем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при передаче тепловой энергии в системах теплоснабжения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Киловатт в час на 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12.1, 12.2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энергетической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Повышение энергетической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эффективности в системах коммунальной инфраструктуры.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Удельный расход электрическ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Показатель муниципал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Киловатт-час/квадратный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0,74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11.2, 11.3, 11.4, 13.1, 13.2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Повышение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Повышение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энергетической эффективности на территории городского округа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14.1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я  в ведении муниципального образования городского  округа Люберцы Московской области, организаций коммунального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систем наружного освещения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Светлый город – доля освещённых улиц, проездов, набережных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городских округов и муниципальных районов (городских и сельских поселений)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Приоритетный целевой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98,20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99,10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15.1, 15.2, 15.3, 16.1,17.1,17.2</w:t>
            </w:r>
          </w:p>
        </w:tc>
      </w:tr>
      <w:tr w:rsidR="00E31EF9" w:rsidTr="00E31EF9">
        <w:trPr>
          <w:trHeight w:val="20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  <w:p w:rsidR="00E31EF9" w:rsidRDefault="00E31EF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энергетической эффективности учреждений, находящихся  в ведении муниципального образования городского  округа Люберцы Московской области, организаций коммунальн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ого комплекса, жилищного фонда, экономия бюджетных средств и средств потребителей энергоресурсов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Повышение энергетической эффективности систем наружного освещения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– 100 % ежегодно.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Приоритетный целевой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15.3, 15.4, 18.2</w:t>
            </w:r>
          </w:p>
        </w:tc>
      </w:tr>
    </w:tbl>
    <w:p w:rsidR="00E31EF9" w:rsidRDefault="00E31EF9" w:rsidP="00E31EF9">
      <w:pPr>
        <w:rPr>
          <w:rFonts w:ascii="Arial" w:eastAsia="Times New Roman" w:hAnsi="Arial" w:cs="Arial"/>
          <w:sz w:val="24"/>
          <w:szCs w:val="24"/>
        </w:rPr>
      </w:pPr>
    </w:p>
    <w:tbl>
      <w:tblPr>
        <w:tblStyle w:val="1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3938"/>
      </w:tblGrid>
      <w:tr w:rsidR="00E31EF9" w:rsidTr="00E31EF9">
        <w:trPr>
          <w:trHeight w:val="20"/>
        </w:trPr>
        <w:tc>
          <w:tcPr>
            <w:tcW w:w="10740" w:type="dxa"/>
          </w:tcPr>
          <w:p w:rsidR="00E31EF9" w:rsidRDefault="00E31EF9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8" w:type="dxa"/>
          </w:tcPr>
          <w:p w:rsidR="00E31EF9" w:rsidRDefault="00E31E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3 к  Постановлению администрации городского округа Люберцы Московской области                     от 07.02.2019 № 446-ПА</w:t>
            </w:r>
          </w:p>
          <w:p w:rsidR="00E31EF9" w:rsidRDefault="00E31EF9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1EF9" w:rsidTr="00E31EF9">
        <w:trPr>
          <w:trHeight w:val="20"/>
        </w:trPr>
        <w:tc>
          <w:tcPr>
            <w:tcW w:w="14678" w:type="dxa"/>
            <w:gridSpan w:val="2"/>
            <w:hideMark/>
          </w:tcPr>
          <w:p w:rsidR="00E31EF9" w:rsidRDefault="00E31EF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Методика расчета значений показателей муниципальной программы «Энергосбережение и повышение энергетической эффективности в городском округе Люберцы Московской области</w:t>
            </w:r>
          </w:p>
        </w:tc>
      </w:tr>
    </w:tbl>
    <w:p w:rsidR="00E31EF9" w:rsidRDefault="00E31EF9" w:rsidP="00E31EF9">
      <w:pPr>
        <w:spacing w:after="0"/>
        <w:rPr>
          <w:rFonts w:ascii="Arial" w:eastAsia="Times New Roman" w:hAnsi="Arial" w:cs="Arial"/>
          <w:vanish/>
          <w:sz w:val="24"/>
          <w:szCs w:val="24"/>
        </w:rPr>
      </w:pPr>
    </w:p>
    <w:tbl>
      <w:tblPr>
        <w:tblW w:w="151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5"/>
        <w:gridCol w:w="1843"/>
        <w:gridCol w:w="2978"/>
        <w:gridCol w:w="6524"/>
      </w:tblGrid>
      <w:tr w:rsidR="00E31EF9" w:rsidTr="00E31EF9">
        <w:trPr>
          <w:trHeight w:val="992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Источник данных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Порядок расчета показателя</w:t>
            </w:r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 Доля зданий, строений, сооружений органов местного самоуправления и муниципальных учреждений,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оснащенных приборами учета потребляемых энергетических ресурсов,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в «ГИС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Энрегоэффективность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Значение показателя определяется как процентное отношение количества зданий, строений, сооружений органов местного самоуправления и муниципальных учреждений, оснащенных приборами учета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потребляемых энергетических ресурсов к общему количеству зданий, строений, сооружений органов местного самоуправления и муниципальных учреждений</w:t>
            </w:r>
          </w:p>
        </w:tc>
      </w:tr>
      <w:tr w:rsidR="00E31EF9" w:rsidTr="00E31EF9">
        <w:trPr>
          <w:trHeight w:val="2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 Бережливый учет  - Оснащенность многоквартирных домов приборами учета ресурсов,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 - «Приборы учета МКД и ЖД»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Показатель «Бережливый учет» характеризует оснащенность многоквартирных домов общедомовыми (коллективными) приборами учета потребляемых энергетических ресурсов и рассчитывается по формуле:</w:t>
            </w:r>
          </w:p>
          <w:p w:rsidR="00E31EF9" w:rsidRDefault="00E31EF9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= (К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мкд.хвс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пу.ээ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мкд.ээ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/4 х 100%</w:t>
            </w:r>
          </w:p>
          <w:p w:rsidR="00E31EF9" w:rsidRDefault="00E31EF9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доля многоквартирных домов, оснащенных общедомовыми (коллективными) приборами учета, процент;</w:t>
            </w:r>
          </w:p>
          <w:p w:rsidR="00E31EF9" w:rsidRDefault="00E31EF9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холодной воды, единица;</w:t>
            </w:r>
          </w:p>
          <w:p w:rsidR="00E31EF9" w:rsidRDefault="00E31EF9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общее количество многоквартирных домов подлежащий оснащению общедомовыми (коллективными) приборами учета холодной воды, единица;</w:t>
            </w:r>
          </w:p>
          <w:p w:rsidR="00E31EF9" w:rsidRDefault="00E31EF9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горячей воды, единица;</w:t>
            </w:r>
          </w:p>
          <w:p w:rsidR="00E31EF9" w:rsidRDefault="00E31EF9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мкд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общее количество многоквартирных домов, подлежащих оснащению общедомовыми (коллективными) приборами учета горячей воды,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единица;</w:t>
            </w:r>
          </w:p>
          <w:p w:rsidR="00E31EF9" w:rsidRDefault="00E31EF9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.э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количество многоквартирных домов, оснащенных общедомовыми (коллективными) приборами учета электрической энергии, единица;</w:t>
            </w:r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3. Доля зданий, строений, сооружений муниципальной собственности, соответствующих нормальному уровню энергетической эффективности и выше (А, B, C, D), (%)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ГИС «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Энергоэффективность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как отношение количества зданий, строений, сооружений муниципальной собственности, соответствующих нормальному уровню энергетической эффективности и выше (А, B, C, D) к общему количеству зданий, строений, сооружений муниципальной собственности</w:t>
            </w:r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 Сокращение уровня износа электросетевого хозяйства систем наружного освещения с применением СИП и высокоэффективных светильников, 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Акты выполненных работ по прокладке самонесущего провода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формуле: 100-(ПСИП/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ОплНО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)*100, где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ПСИП - протяженность самонесущего изолированного провода,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км</w:t>
            </w:r>
            <w:proofErr w:type="gramEnd"/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ОплНО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общая протяженность линий наружного освещения,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км</w:t>
            </w:r>
            <w:proofErr w:type="gramEnd"/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 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ремонту, (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диниц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Акты выполненных работ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рассчитывается по факту реализации мероприятий в натуральном выражении</w:t>
            </w:r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6. Доля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энергосбережение повышение энергетической  эффективности, прошедших обучение по образовательным программам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 области энергосбережения и повышения энергетической эффективности, (%)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Информация о лицах, прошедших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обучение по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образовательным программам в области энергосбережения и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lastRenderedPageBreak/>
              <w:t>повышения энергетической эффективности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Значение показателя определяется как процентное отношение количества человек, ответственных за энергосбережение повышение энергетической эффективности, прошедших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обучение по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образовательным программам в области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энергосбережения и повышения энергетической эффективности к общему количеству человек   ответственных за энергосбережение повышение энергетической эффективности</w:t>
            </w:r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7. Светлый город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Информация об общей  протяженности освещению улиц, проездов, набережных к протяженности освещенных улиц, проездов, набережных с уровнем освещенности, соответствующему нормативным значениям в городском округе. Акты выполненных работ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формуле: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 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 общ *100, где: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осв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общ – общая протяженность улиц, проездов, набережных в городском округе, км</w:t>
            </w:r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8. Количество многоквартирных домов, соответствующих нормальному классу энергетической эффективности и выше (А, B, C и D), 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АИС ГЖИ МО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Значение показателя рассчитывается по факту присвоения класса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энергоэффективности</w:t>
            </w:r>
            <w:proofErr w:type="spellEnd"/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9. Доля потерь тепловой энергии при ее передаче в общем объеме переданной тепловой энергии, 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«1-ТЭП»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потерь тепловой энергии при ее передаче в общем объеме переданной тепловой энергии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определяется по формуле: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Отэ.потери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ОПсубъект.тэ.общий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) ∙ 100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(%),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потерь тепловой энергии при ее передаче на территории субъекта Российской Федерации, Гкал;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ОПсубъек.тэ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переданной тепловой энергии на территории субъекта Российской Федерации, Гкал.</w:t>
            </w:r>
          </w:p>
        </w:tc>
      </w:tr>
      <w:tr w:rsidR="00E31EF9" w:rsidTr="00E31EF9">
        <w:trPr>
          <w:trHeight w:val="2829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10. Доля потерь воды при ее передаче в общем объеме переданной воды, 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«1-водопровод»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потерь воды при ее передаче в общем объеме переданной воды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 определяется по формуле: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отери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ОПсубъект.гвс.общий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ОПсубъект.хвс.общий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)) ∙ 100) (%),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потерь воды при ее передаче на территории субъекта Российской Федерации, тыс. куб. м;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потребления (использования) на территории субъекта Российской Федерации горячей воды, тыс. куб. м;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ОПсубъект.xвс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бщий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общий объем потребления (использования) на территории субъекта Российской Федерации холодной воды, тыс. куб. м.</w:t>
            </w:r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11. Удельный расход электрической энергии, используемой при передаче тепловой энергии в системах теплоснабжения, киловатт в час на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киловатт в час на 1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гигокалорию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Форма статистической отчетности             «1-ТЭП»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при передаче тепловой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энергии в системах теплоснабжения (</w:t>
            </w:r>
            <w:proofErr w:type="gramEnd"/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), определяется по формуле: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 = ОП / ОТ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ээ.передача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/куб. м),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ередача.тэ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объем потребления электрической энергии для передачи тепловой энергии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 системах теплоснабжения на территории субъекта Российской Федерации,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ОТтн</w:t>
            </w:r>
            <w:proofErr w:type="spellEnd"/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транспортировки теплоносителя в системе теплоснабжения на территории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субъекта Российской Федерации, тыс. куб. м.</w:t>
            </w:r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 Удельный расход электрической энергии, используемой для передачи (транспортировки) воды в системах водоснабжения (на 1 куб. метр), киловатт-час/квадратный метр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киловатт-час/квадратный метр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Форма статистической отчетности   </w:t>
            </w:r>
          </w:p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«1-водопровод»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Удельный расход электрической энергии, используемой для передачи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(транспортировки) воды в системах водоснабжения (на 1 куб. метр)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), определяется по формуле: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ОПээ.передача.вс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ОП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субъект.гвс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общий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ОПсубъект.хвс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общий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ОПвс.передача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тыс.кВт·ч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/куб. м),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ОПээ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ередача.вс</w:t>
            </w:r>
            <w:proofErr w:type="spellEnd"/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потребления электрической энергии для передачи воды в системах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водоснабжения на территории субъекта Российской Федерации, 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кВт·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ОПвс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ередача</w:t>
            </w:r>
            <w:proofErr w:type="spellEnd"/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объем потерь воды при ее передаче на территории субъекта Российской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Федерации, куб. м;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общий объем потребления (использования) на территории субъекта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Российской Федерации горячей воды, куб. м;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ОПсубъект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вс.общий</w:t>
            </w:r>
            <w:proofErr w:type="spellEnd"/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 общий объем потребления (использования) на территории субъекта</w:t>
            </w:r>
          </w:p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Российской Федерации холодной воды, куб. м.</w:t>
            </w:r>
          </w:p>
        </w:tc>
      </w:tr>
      <w:tr w:rsidR="00E31EF9" w:rsidTr="00E31EF9">
        <w:trPr>
          <w:trHeight w:val="1974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13.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 в качестве моторного топлива, единиц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Информация о наличии транспортных средств, используемых органами местного самоуправления, муниципальными унитарными предприятиями, в отношении которых проведены мероприятия по энергосбережению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показателя определяется по факту</w:t>
            </w:r>
          </w:p>
        </w:tc>
      </w:tr>
      <w:tr w:rsidR="00E31EF9" w:rsidTr="00E31EF9">
        <w:trPr>
          <w:trHeight w:val="750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14. 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Отчет 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>в ГАС</w:t>
            </w:r>
            <w:proofErr w:type="gramEnd"/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«Управление», информация о наличии светильников наружного освещения, управление которыми осуществляется с использованием автоматизированных систем управления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US"/>
              </w:rPr>
              <w:lastRenderedPageBreak/>
              <w:t>наружным освещением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F9" w:rsidRDefault="00E31EF9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Значение показателя определяется как отношение количества светильников наружного освещения, управление которыми осуществляется с использованием автоматизированных систем управления наружным освещением к общему количеству светильников</w:t>
            </w:r>
          </w:p>
        </w:tc>
      </w:tr>
    </w:tbl>
    <w:p w:rsidR="00E31EF9" w:rsidRDefault="00E31EF9" w:rsidP="00E31EF9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534FA3" w:rsidRPr="00E31EF9" w:rsidRDefault="00534FA3" w:rsidP="00E31EF9"/>
    <w:sectPr w:rsidR="00534FA3" w:rsidRPr="00E31EF9" w:rsidSect="00E31E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262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77" w:hanging="375"/>
      </w:pPr>
      <w:rPr>
        <w:rFonts w:ascii="Arial" w:hAnsi="Arial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8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2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2" w:hanging="2160"/>
      </w:pPr>
      <w:rPr>
        <w:rFonts w:cs="Times New Roman"/>
      </w:rPr>
    </w:lvl>
  </w:abstractNum>
  <w:abstractNum w:abstractNumId="2">
    <w:nsid w:val="06B32F64"/>
    <w:multiLevelType w:val="multilevel"/>
    <w:tmpl w:val="D5C8076E"/>
    <w:lvl w:ilvl="0">
      <w:start w:val="1"/>
      <w:numFmt w:val="decimal"/>
      <w:lvlText w:val="%1."/>
      <w:lvlJc w:val="left"/>
      <w:pPr>
        <w:ind w:left="12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277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6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82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982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2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342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702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062" w:hanging="2160"/>
      </w:pPr>
      <w:rPr>
        <w:rFonts w:cs="Times New Roman"/>
      </w:rPr>
    </w:lvl>
  </w:abstractNum>
  <w:abstractNum w:abstractNumId="3">
    <w:nsid w:val="0DFC3CE7"/>
    <w:multiLevelType w:val="hybridMultilevel"/>
    <w:tmpl w:val="5E648420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94F80"/>
    <w:multiLevelType w:val="hybridMultilevel"/>
    <w:tmpl w:val="41F6E1E8"/>
    <w:lvl w:ilvl="0" w:tplc="0419000F">
      <w:start w:val="2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>
    <w:nsid w:val="64F30233"/>
    <w:multiLevelType w:val="hybridMultilevel"/>
    <w:tmpl w:val="0C2EAFD6"/>
    <w:lvl w:ilvl="0" w:tplc="DA9C36AE">
      <w:start w:val="1"/>
      <w:numFmt w:val="decimal"/>
      <w:lvlText w:val="%1."/>
      <w:lvlJc w:val="left"/>
      <w:pPr>
        <w:ind w:left="5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8" w:hanging="180"/>
      </w:pPr>
      <w:rPr>
        <w:rFonts w:cs="Times New Roman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FA3"/>
    <w:rsid w:val="00534FA3"/>
    <w:rsid w:val="00E3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F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1EF9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1EF9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E3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31E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1EF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31E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1EF9"/>
    <w:rPr>
      <w:rFonts w:eastAsiaTheme="minorEastAsia" w:cs="Times New Roman"/>
      <w:lang w:eastAsia="ru-RU"/>
    </w:rPr>
  </w:style>
  <w:style w:type="paragraph" w:styleId="aa">
    <w:name w:val="caption"/>
    <w:basedOn w:val="a"/>
    <w:uiPriority w:val="35"/>
    <w:semiHidden/>
    <w:unhideWhenUsed/>
    <w:qFormat/>
    <w:rsid w:val="00E31EF9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2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E31EF9"/>
    <w:pPr>
      <w:suppressAutoHyphens/>
      <w:spacing w:after="140" w:line="288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E31EF9"/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rsid w:val="00E31EF9"/>
    <w:rPr>
      <w:rFonts w:cs="Noto Sans Devanagari"/>
    </w:rPr>
  </w:style>
  <w:style w:type="paragraph" w:styleId="ae">
    <w:name w:val="Balloon Text"/>
    <w:basedOn w:val="a"/>
    <w:link w:val="af"/>
    <w:uiPriority w:val="99"/>
    <w:semiHidden/>
    <w:unhideWhenUsed/>
    <w:rsid w:val="00E31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31EF9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No Spacing"/>
    <w:uiPriority w:val="1"/>
    <w:qFormat/>
    <w:rsid w:val="00E31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34"/>
    <w:locked/>
    <w:rsid w:val="00E31EF9"/>
    <w:rPr>
      <w:rFonts w:ascii="Calibri" w:eastAsiaTheme="minorEastAsia" w:hAnsi="Calibri" w:cs="Times New Roman"/>
      <w:sz w:val="24"/>
      <w:szCs w:val="24"/>
    </w:rPr>
  </w:style>
  <w:style w:type="paragraph" w:styleId="af2">
    <w:name w:val="List Paragraph"/>
    <w:basedOn w:val="a"/>
    <w:link w:val="af1"/>
    <w:uiPriority w:val="34"/>
    <w:qFormat/>
    <w:rsid w:val="00E31EF9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semiHidden/>
    <w:rsid w:val="00E31E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E31E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Heading">
    <w:name w:val="Heading"/>
    <w:basedOn w:val="a"/>
    <w:next w:val="ab"/>
    <w:uiPriority w:val="99"/>
    <w:semiHidden/>
    <w:rsid w:val="00E31EF9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2"/>
      <w:sz w:val="28"/>
      <w:szCs w:val="28"/>
    </w:rPr>
  </w:style>
  <w:style w:type="paragraph" w:customStyle="1" w:styleId="Index">
    <w:name w:val="Index"/>
    <w:basedOn w:val="a"/>
    <w:uiPriority w:val="99"/>
    <w:semiHidden/>
    <w:rsid w:val="00E31EF9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2"/>
      <w:sz w:val="24"/>
      <w:szCs w:val="24"/>
    </w:rPr>
  </w:style>
  <w:style w:type="paragraph" w:customStyle="1" w:styleId="xl63">
    <w:name w:val="xl63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4">
    <w:name w:val="xl64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5">
    <w:name w:val="xl65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6">
    <w:name w:val="xl66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7">
    <w:name w:val="xl67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8">
    <w:name w:val="xl68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9">
    <w:name w:val="xl69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0">
    <w:name w:val="xl70"/>
    <w:basedOn w:val="a"/>
    <w:uiPriority w:val="99"/>
    <w:semiHidden/>
    <w:rsid w:val="00E31EF9"/>
    <w:pPr>
      <w:pBdr>
        <w:top w:val="single" w:sz="4" w:space="0" w:color="000001"/>
        <w:bottom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1">
    <w:name w:val="xl71"/>
    <w:basedOn w:val="a"/>
    <w:uiPriority w:val="99"/>
    <w:semiHidden/>
    <w:rsid w:val="00E31EF9"/>
    <w:pPr>
      <w:pBdr>
        <w:top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uiPriority w:val="99"/>
    <w:semiHidden/>
    <w:rsid w:val="00E31EF9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uiPriority w:val="99"/>
    <w:semiHidden/>
    <w:rsid w:val="00E31EF9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uiPriority w:val="99"/>
    <w:semiHidden/>
    <w:rsid w:val="00E31EF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uiPriority w:val="99"/>
    <w:semiHidden/>
    <w:rsid w:val="00E31EF9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uiPriority w:val="99"/>
    <w:semiHidden/>
    <w:rsid w:val="00E31EF9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uiPriority w:val="99"/>
    <w:semiHidden/>
    <w:rsid w:val="00E31EF9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uiPriority w:val="99"/>
    <w:semiHidden/>
    <w:rsid w:val="00E31EF9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uiPriority w:val="99"/>
    <w:semiHidden/>
    <w:rsid w:val="00E31EF9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uiPriority w:val="99"/>
    <w:semiHidden/>
    <w:rsid w:val="00E31EF9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uiPriority w:val="99"/>
    <w:semiHidden/>
    <w:rsid w:val="00E31EF9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E31EF9"/>
    <w:rPr>
      <w:rFonts w:ascii="Times New Roman" w:hAnsi="Times New Roman" w:cs="Times New Roman" w:hint="default"/>
    </w:rPr>
  </w:style>
  <w:style w:type="character" w:customStyle="1" w:styleId="ListLabel1">
    <w:name w:val="ListLabel 1"/>
    <w:rsid w:val="00E31EF9"/>
  </w:style>
  <w:style w:type="character" w:customStyle="1" w:styleId="ListLabel2">
    <w:name w:val="ListLabel 2"/>
    <w:rsid w:val="00E31EF9"/>
  </w:style>
  <w:style w:type="character" w:customStyle="1" w:styleId="ListLabel3">
    <w:name w:val="ListLabel 3"/>
    <w:rsid w:val="00E31EF9"/>
  </w:style>
  <w:style w:type="character" w:customStyle="1" w:styleId="ListLabel4">
    <w:name w:val="ListLabel 4"/>
    <w:rsid w:val="00E31EF9"/>
  </w:style>
  <w:style w:type="character" w:customStyle="1" w:styleId="ListLabel5">
    <w:name w:val="ListLabel 5"/>
    <w:rsid w:val="00E31EF9"/>
  </w:style>
  <w:style w:type="character" w:customStyle="1" w:styleId="ListLabel6">
    <w:name w:val="ListLabel 6"/>
    <w:rsid w:val="00E31EF9"/>
  </w:style>
  <w:style w:type="character" w:customStyle="1" w:styleId="ListLabel7">
    <w:name w:val="ListLabel 7"/>
    <w:rsid w:val="00E31EF9"/>
  </w:style>
  <w:style w:type="character" w:customStyle="1" w:styleId="ListLabel8">
    <w:name w:val="ListLabel 8"/>
    <w:rsid w:val="00E31EF9"/>
  </w:style>
  <w:style w:type="character" w:customStyle="1" w:styleId="ListLabel9">
    <w:name w:val="ListLabel 9"/>
    <w:rsid w:val="00E31EF9"/>
  </w:style>
  <w:style w:type="character" w:customStyle="1" w:styleId="ListLabel10">
    <w:name w:val="ListLabel 10"/>
    <w:rsid w:val="00E31EF9"/>
    <w:rPr>
      <w:rFonts w:ascii="Arial" w:hAnsi="Arial" w:cs="Arial" w:hint="default"/>
      <w:b/>
      <w:bCs w:val="0"/>
    </w:rPr>
  </w:style>
  <w:style w:type="character" w:customStyle="1" w:styleId="ListLabel11">
    <w:name w:val="ListLabel 11"/>
    <w:rsid w:val="00E31EF9"/>
  </w:style>
  <w:style w:type="character" w:customStyle="1" w:styleId="ListLabel12">
    <w:name w:val="ListLabel 12"/>
    <w:rsid w:val="00E31EF9"/>
  </w:style>
  <w:style w:type="character" w:customStyle="1" w:styleId="ListLabel13">
    <w:name w:val="ListLabel 13"/>
    <w:rsid w:val="00E31EF9"/>
  </w:style>
  <w:style w:type="character" w:customStyle="1" w:styleId="ListLabel14">
    <w:name w:val="ListLabel 14"/>
    <w:rsid w:val="00E31EF9"/>
  </w:style>
  <w:style w:type="character" w:customStyle="1" w:styleId="ListLabel15">
    <w:name w:val="ListLabel 15"/>
    <w:rsid w:val="00E31EF9"/>
  </w:style>
  <w:style w:type="character" w:customStyle="1" w:styleId="ListLabel16">
    <w:name w:val="ListLabel 16"/>
    <w:rsid w:val="00E31EF9"/>
  </w:style>
  <w:style w:type="character" w:customStyle="1" w:styleId="ListLabel17">
    <w:name w:val="ListLabel 17"/>
    <w:rsid w:val="00E31EF9"/>
  </w:style>
  <w:style w:type="character" w:customStyle="1" w:styleId="ListLabel18">
    <w:name w:val="ListLabel 18"/>
    <w:rsid w:val="00E31EF9"/>
  </w:style>
  <w:style w:type="character" w:customStyle="1" w:styleId="ListLabel19">
    <w:name w:val="ListLabel 19"/>
    <w:rsid w:val="00E31EF9"/>
    <w:rPr>
      <w:rFonts w:ascii="Arial" w:hAnsi="Arial" w:cs="Arial" w:hint="default"/>
      <w:b/>
      <w:bCs w:val="0"/>
    </w:rPr>
  </w:style>
  <w:style w:type="character" w:customStyle="1" w:styleId="ListLabel20">
    <w:name w:val="ListLabel 20"/>
    <w:rsid w:val="00E31EF9"/>
    <w:rPr>
      <w:rFonts w:ascii="Arial" w:hAnsi="Arial" w:cs="Arial" w:hint="default"/>
      <w:b/>
      <w:bCs w:val="0"/>
    </w:rPr>
  </w:style>
  <w:style w:type="character" w:customStyle="1" w:styleId="ListLabel21">
    <w:name w:val="ListLabel 21"/>
    <w:rsid w:val="00E31EF9"/>
  </w:style>
  <w:style w:type="character" w:customStyle="1" w:styleId="ListLabel22">
    <w:name w:val="ListLabel 22"/>
    <w:rsid w:val="00E31EF9"/>
  </w:style>
  <w:style w:type="character" w:customStyle="1" w:styleId="ListLabel23">
    <w:name w:val="ListLabel 23"/>
    <w:rsid w:val="00E31EF9"/>
  </w:style>
  <w:style w:type="character" w:customStyle="1" w:styleId="ListLabel24">
    <w:name w:val="ListLabel 24"/>
    <w:rsid w:val="00E31EF9"/>
  </w:style>
  <w:style w:type="character" w:customStyle="1" w:styleId="ListLabel25">
    <w:name w:val="ListLabel 25"/>
    <w:rsid w:val="00E31EF9"/>
  </w:style>
  <w:style w:type="character" w:customStyle="1" w:styleId="ListLabel26">
    <w:name w:val="ListLabel 26"/>
    <w:rsid w:val="00E31EF9"/>
  </w:style>
  <w:style w:type="character" w:customStyle="1" w:styleId="ListLabel27">
    <w:name w:val="ListLabel 27"/>
    <w:rsid w:val="00E31EF9"/>
  </w:style>
  <w:style w:type="table" w:styleId="af4">
    <w:name w:val="Table Grid"/>
    <w:basedOn w:val="a1"/>
    <w:uiPriority w:val="59"/>
    <w:rsid w:val="00E31EF9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E31EF9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F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1EF9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1EF9"/>
    <w:rPr>
      <w:rFonts w:ascii="Times New Roman" w:hAnsi="Times New Roman" w:cs="Times New Roman" w:hint="default"/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E3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31E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1EF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31E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1EF9"/>
    <w:rPr>
      <w:rFonts w:eastAsiaTheme="minorEastAsia" w:cs="Times New Roman"/>
      <w:lang w:eastAsia="ru-RU"/>
    </w:rPr>
  </w:style>
  <w:style w:type="paragraph" w:styleId="aa">
    <w:name w:val="caption"/>
    <w:basedOn w:val="a"/>
    <w:uiPriority w:val="35"/>
    <w:semiHidden/>
    <w:unhideWhenUsed/>
    <w:qFormat/>
    <w:rsid w:val="00E31EF9"/>
    <w:pPr>
      <w:suppressLineNumbers/>
      <w:suppressAutoHyphens/>
      <w:spacing w:before="120" w:after="120" w:line="240" w:lineRule="auto"/>
    </w:pPr>
    <w:rPr>
      <w:rFonts w:ascii="Times New Roman" w:hAnsi="Times New Roman" w:cs="Noto Sans Devanagari"/>
      <w:i/>
      <w:iCs/>
      <w:kern w:val="2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E31EF9"/>
    <w:pPr>
      <w:suppressAutoHyphens/>
      <w:spacing w:after="140" w:line="288" w:lineRule="auto"/>
    </w:pPr>
    <w:rPr>
      <w:rFonts w:ascii="Times New Roman" w:hAnsi="Times New Roman"/>
      <w:kern w:val="2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E31EF9"/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styleId="ad">
    <w:name w:val="List"/>
    <w:basedOn w:val="ab"/>
    <w:uiPriority w:val="99"/>
    <w:semiHidden/>
    <w:unhideWhenUsed/>
    <w:rsid w:val="00E31EF9"/>
    <w:rPr>
      <w:rFonts w:cs="Noto Sans Devanagari"/>
    </w:rPr>
  </w:style>
  <w:style w:type="paragraph" w:styleId="ae">
    <w:name w:val="Balloon Text"/>
    <w:basedOn w:val="a"/>
    <w:link w:val="af"/>
    <w:uiPriority w:val="99"/>
    <w:semiHidden/>
    <w:unhideWhenUsed/>
    <w:rsid w:val="00E31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31EF9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No Spacing"/>
    <w:uiPriority w:val="1"/>
    <w:qFormat/>
    <w:rsid w:val="00E31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34"/>
    <w:locked/>
    <w:rsid w:val="00E31EF9"/>
    <w:rPr>
      <w:rFonts w:ascii="Calibri" w:eastAsiaTheme="minorEastAsia" w:hAnsi="Calibri" w:cs="Times New Roman"/>
      <w:sz w:val="24"/>
      <w:szCs w:val="24"/>
    </w:rPr>
  </w:style>
  <w:style w:type="paragraph" w:styleId="af2">
    <w:name w:val="List Paragraph"/>
    <w:basedOn w:val="a"/>
    <w:link w:val="af1"/>
    <w:uiPriority w:val="34"/>
    <w:qFormat/>
    <w:rsid w:val="00E31EF9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customStyle="1" w:styleId="ConsPlusNonformat">
    <w:name w:val="ConsPlusNonformat"/>
    <w:uiPriority w:val="99"/>
    <w:semiHidden/>
    <w:rsid w:val="00E31E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E31E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Heading">
    <w:name w:val="Heading"/>
    <w:basedOn w:val="a"/>
    <w:next w:val="ab"/>
    <w:uiPriority w:val="99"/>
    <w:semiHidden/>
    <w:rsid w:val="00E31EF9"/>
    <w:pPr>
      <w:keepNext/>
      <w:suppressAutoHyphens/>
      <w:spacing w:before="240" w:after="120" w:line="240" w:lineRule="auto"/>
    </w:pPr>
    <w:rPr>
      <w:rFonts w:ascii="Liberation Sans" w:hAnsi="Liberation Sans" w:cs="Noto Sans Devanagari"/>
      <w:kern w:val="2"/>
      <w:sz w:val="28"/>
      <w:szCs w:val="28"/>
    </w:rPr>
  </w:style>
  <w:style w:type="paragraph" w:customStyle="1" w:styleId="Index">
    <w:name w:val="Index"/>
    <w:basedOn w:val="a"/>
    <w:uiPriority w:val="99"/>
    <w:semiHidden/>
    <w:rsid w:val="00E31EF9"/>
    <w:pPr>
      <w:suppressLineNumbers/>
      <w:suppressAutoHyphens/>
      <w:spacing w:after="0" w:line="240" w:lineRule="auto"/>
    </w:pPr>
    <w:rPr>
      <w:rFonts w:ascii="Times New Roman" w:hAnsi="Times New Roman" w:cs="Noto Sans Devanagari"/>
      <w:kern w:val="2"/>
      <w:sz w:val="24"/>
      <w:szCs w:val="24"/>
    </w:rPr>
  </w:style>
  <w:style w:type="paragraph" w:customStyle="1" w:styleId="xl63">
    <w:name w:val="xl63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4">
    <w:name w:val="xl64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5">
    <w:name w:val="xl65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6">
    <w:name w:val="xl66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7">
    <w:name w:val="xl67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8">
    <w:name w:val="xl68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right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69">
    <w:name w:val="xl69"/>
    <w:basedOn w:val="a"/>
    <w:uiPriority w:val="99"/>
    <w:semiHidden/>
    <w:rsid w:val="00E31EF9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FFFF00"/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0">
    <w:name w:val="xl70"/>
    <w:basedOn w:val="a"/>
    <w:uiPriority w:val="99"/>
    <w:semiHidden/>
    <w:rsid w:val="00E31EF9"/>
    <w:pPr>
      <w:pBdr>
        <w:top w:val="single" w:sz="4" w:space="0" w:color="000001"/>
        <w:bottom w:val="single" w:sz="4" w:space="0" w:color="000001"/>
      </w:pBdr>
      <w:suppressAutoHyphens/>
      <w:spacing w:before="280" w:after="280" w:line="240" w:lineRule="auto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xl71">
    <w:name w:val="xl71"/>
    <w:basedOn w:val="a"/>
    <w:uiPriority w:val="99"/>
    <w:semiHidden/>
    <w:rsid w:val="00E31EF9"/>
    <w:pPr>
      <w:pBdr>
        <w:top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 w:line="240" w:lineRule="auto"/>
      <w:jc w:val="center"/>
    </w:pPr>
    <w:rPr>
      <w:rFonts w:ascii="Times New Roman" w:hAnsi="Times New Roman"/>
      <w:color w:val="000000"/>
      <w:kern w:val="2"/>
      <w:sz w:val="24"/>
      <w:szCs w:val="24"/>
    </w:rPr>
  </w:style>
  <w:style w:type="paragraph" w:customStyle="1" w:styleId="1">
    <w:name w:val="Знак Знак Знак Знак Знак1 Знак Знак Знак Знак Знак Знак Знак"/>
    <w:basedOn w:val="a"/>
    <w:uiPriority w:val="99"/>
    <w:semiHidden/>
    <w:rsid w:val="00E31EF9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72">
    <w:name w:val="xl72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3">
    <w:name w:val="xl73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81">
    <w:name w:val="xl81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3">
    <w:name w:val="xl83"/>
    <w:basedOn w:val="a"/>
    <w:uiPriority w:val="99"/>
    <w:semiHidden/>
    <w:rsid w:val="00E31EF9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uiPriority w:val="99"/>
    <w:semiHidden/>
    <w:rsid w:val="00E31EF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5">
    <w:name w:val="xl85"/>
    <w:basedOn w:val="a"/>
    <w:uiPriority w:val="99"/>
    <w:semiHidden/>
    <w:rsid w:val="00E31EF9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8">
    <w:name w:val="xl88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9">
    <w:name w:val="xl89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1">
    <w:name w:val="xl91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93">
    <w:name w:val="xl93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4">
    <w:name w:val="xl94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5">
    <w:name w:val="xl95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97">
    <w:name w:val="xl97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8">
    <w:name w:val="xl98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uiPriority w:val="99"/>
    <w:semiHidden/>
    <w:rsid w:val="00E31EF9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4">
    <w:name w:val="xl104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5">
    <w:name w:val="xl105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6">
    <w:name w:val="xl106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07">
    <w:name w:val="xl107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08">
    <w:name w:val="xl108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9">
    <w:name w:val="xl109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uiPriority w:val="99"/>
    <w:semiHidden/>
    <w:rsid w:val="00E31EF9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13">
    <w:name w:val="xl113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uiPriority w:val="99"/>
    <w:semiHidden/>
    <w:rsid w:val="00E31EF9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6">
    <w:name w:val="xl116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7">
    <w:name w:val="xl117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8">
    <w:name w:val="xl118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19">
    <w:name w:val="xl119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20">
    <w:name w:val="xl120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2">
    <w:name w:val="xl122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"/>
    <w:uiPriority w:val="99"/>
    <w:semiHidden/>
    <w:rsid w:val="00E31EF9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a"/>
    <w:uiPriority w:val="99"/>
    <w:semiHidden/>
    <w:rsid w:val="00E31EF9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uiPriority w:val="99"/>
    <w:semiHidden/>
    <w:rsid w:val="00E31EF9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6">
    <w:name w:val="xl126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7">
    <w:name w:val="xl127"/>
    <w:basedOn w:val="a"/>
    <w:uiPriority w:val="99"/>
    <w:semiHidden/>
    <w:rsid w:val="00E31EF9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uiPriority w:val="99"/>
    <w:semiHidden/>
    <w:rsid w:val="00E31EF9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29">
    <w:name w:val="xl129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xl130">
    <w:name w:val="xl130"/>
    <w:basedOn w:val="a"/>
    <w:uiPriority w:val="99"/>
    <w:semiHidden/>
    <w:rsid w:val="00E31EF9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uiPriority w:val="99"/>
    <w:semiHidden/>
    <w:rsid w:val="00E31EF9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E31EF9"/>
    <w:rPr>
      <w:rFonts w:ascii="Times New Roman" w:hAnsi="Times New Roman" w:cs="Times New Roman" w:hint="default"/>
    </w:rPr>
  </w:style>
  <w:style w:type="character" w:customStyle="1" w:styleId="ListLabel1">
    <w:name w:val="ListLabel 1"/>
    <w:rsid w:val="00E31EF9"/>
  </w:style>
  <w:style w:type="character" w:customStyle="1" w:styleId="ListLabel2">
    <w:name w:val="ListLabel 2"/>
    <w:rsid w:val="00E31EF9"/>
  </w:style>
  <w:style w:type="character" w:customStyle="1" w:styleId="ListLabel3">
    <w:name w:val="ListLabel 3"/>
    <w:rsid w:val="00E31EF9"/>
  </w:style>
  <w:style w:type="character" w:customStyle="1" w:styleId="ListLabel4">
    <w:name w:val="ListLabel 4"/>
    <w:rsid w:val="00E31EF9"/>
  </w:style>
  <w:style w:type="character" w:customStyle="1" w:styleId="ListLabel5">
    <w:name w:val="ListLabel 5"/>
    <w:rsid w:val="00E31EF9"/>
  </w:style>
  <w:style w:type="character" w:customStyle="1" w:styleId="ListLabel6">
    <w:name w:val="ListLabel 6"/>
    <w:rsid w:val="00E31EF9"/>
  </w:style>
  <w:style w:type="character" w:customStyle="1" w:styleId="ListLabel7">
    <w:name w:val="ListLabel 7"/>
    <w:rsid w:val="00E31EF9"/>
  </w:style>
  <w:style w:type="character" w:customStyle="1" w:styleId="ListLabel8">
    <w:name w:val="ListLabel 8"/>
    <w:rsid w:val="00E31EF9"/>
  </w:style>
  <w:style w:type="character" w:customStyle="1" w:styleId="ListLabel9">
    <w:name w:val="ListLabel 9"/>
    <w:rsid w:val="00E31EF9"/>
  </w:style>
  <w:style w:type="character" w:customStyle="1" w:styleId="ListLabel10">
    <w:name w:val="ListLabel 10"/>
    <w:rsid w:val="00E31EF9"/>
    <w:rPr>
      <w:rFonts w:ascii="Arial" w:hAnsi="Arial" w:cs="Arial" w:hint="default"/>
      <w:b/>
      <w:bCs w:val="0"/>
    </w:rPr>
  </w:style>
  <w:style w:type="character" w:customStyle="1" w:styleId="ListLabel11">
    <w:name w:val="ListLabel 11"/>
    <w:rsid w:val="00E31EF9"/>
  </w:style>
  <w:style w:type="character" w:customStyle="1" w:styleId="ListLabel12">
    <w:name w:val="ListLabel 12"/>
    <w:rsid w:val="00E31EF9"/>
  </w:style>
  <w:style w:type="character" w:customStyle="1" w:styleId="ListLabel13">
    <w:name w:val="ListLabel 13"/>
    <w:rsid w:val="00E31EF9"/>
  </w:style>
  <w:style w:type="character" w:customStyle="1" w:styleId="ListLabel14">
    <w:name w:val="ListLabel 14"/>
    <w:rsid w:val="00E31EF9"/>
  </w:style>
  <w:style w:type="character" w:customStyle="1" w:styleId="ListLabel15">
    <w:name w:val="ListLabel 15"/>
    <w:rsid w:val="00E31EF9"/>
  </w:style>
  <w:style w:type="character" w:customStyle="1" w:styleId="ListLabel16">
    <w:name w:val="ListLabel 16"/>
    <w:rsid w:val="00E31EF9"/>
  </w:style>
  <w:style w:type="character" w:customStyle="1" w:styleId="ListLabel17">
    <w:name w:val="ListLabel 17"/>
    <w:rsid w:val="00E31EF9"/>
  </w:style>
  <w:style w:type="character" w:customStyle="1" w:styleId="ListLabel18">
    <w:name w:val="ListLabel 18"/>
    <w:rsid w:val="00E31EF9"/>
  </w:style>
  <w:style w:type="character" w:customStyle="1" w:styleId="ListLabel19">
    <w:name w:val="ListLabel 19"/>
    <w:rsid w:val="00E31EF9"/>
    <w:rPr>
      <w:rFonts w:ascii="Arial" w:hAnsi="Arial" w:cs="Arial" w:hint="default"/>
      <w:b/>
      <w:bCs w:val="0"/>
    </w:rPr>
  </w:style>
  <w:style w:type="character" w:customStyle="1" w:styleId="ListLabel20">
    <w:name w:val="ListLabel 20"/>
    <w:rsid w:val="00E31EF9"/>
    <w:rPr>
      <w:rFonts w:ascii="Arial" w:hAnsi="Arial" w:cs="Arial" w:hint="default"/>
      <w:b/>
      <w:bCs w:val="0"/>
    </w:rPr>
  </w:style>
  <w:style w:type="character" w:customStyle="1" w:styleId="ListLabel21">
    <w:name w:val="ListLabel 21"/>
    <w:rsid w:val="00E31EF9"/>
  </w:style>
  <w:style w:type="character" w:customStyle="1" w:styleId="ListLabel22">
    <w:name w:val="ListLabel 22"/>
    <w:rsid w:val="00E31EF9"/>
  </w:style>
  <w:style w:type="character" w:customStyle="1" w:styleId="ListLabel23">
    <w:name w:val="ListLabel 23"/>
    <w:rsid w:val="00E31EF9"/>
  </w:style>
  <w:style w:type="character" w:customStyle="1" w:styleId="ListLabel24">
    <w:name w:val="ListLabel 24"/>
    <w:rsid w:val="00E31EF9"/>
  </w:style>
  <w:style w:type="character" w:customStyle="1" w:styleId="ListLabel25">
    <w:name w:val="ListLabel 25"/>
    <w:rsid w:val="00E31EF9"/>
  </w:style>
  <w:style w:type="character" w:customStyle="1" w:styleId="ListLabel26">
    <w:name w:val="ListLabel 26"/>
    <w:rsid w:val="00E31EF9"/>
  </w:style>
  <w:style w:type="character" w:customStyle="1" w:styleId="ListLabel27">
    <w:name w:val="ListLabel 27"/>
    <w:rsid w:val="00E31EF9"/>
  </w:style>
  <w:style w:type="table" w:styleId="af4">
    <w:name w:val="Table Grid"/>
    <w:basedOn w:val="a1"/>
    <w:uiPriority w:val="59"/>
    <w:rsid w:val="00E31EF9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E31EF9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71</Pages>
  <Words>10899</Words>
  <Characters>62128</Characters>
  <Application>Microsoft Office Word</Application>
  <DocSecurity>0</DocSecurity>
  <Lines>517</Lines>
  <Paragraphs>145</Paragraphs>
  <ScaleCrop>false</ScaleCrop>
  <Company/>
  <LinksUpToDate>false</LinksUpToDate>
  <CharactersWithSpaces>72882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2019-03-13T07:05:00Z</dcterms:created>
  <dcterms:modified xsi:type="dcterms:W3CDTF">2019-03-13T07:17:00Z</dcterms:modified>
</cp:coreProperties>
</file>