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A46C3" w14:textId="749C8CD6" w:rsidR="00206CEA" w:rsidRPr="0045752C" w:rsidRDefault="00206CEA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4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451B0CC6" w14:textId="06AD8A09" w:rsidR="00206CEA" w:rsidRDefault="00B21BF0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42B3CC33" w14:textId="0AAEF88C" w:rsidR="00B21BF0" w:rsidRPr="0045752C" w:rsidRDefault="00B21BF0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Люберцы</w:t>
      </w:r>
    </w:p>
    <w:p w14:paraId="39C5D03C" w14:textId="77777777" w:rsidR="003465BD" w:rsidRPr="0045752C" w:rsidRDefault="00206CEA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74D2727F" w14:textId="5A784E07" w:rsidR="003465BD" w:rsidRPr="0045752C" w:rsidRDefault="003465BD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94E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45752C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14:paraId="487F7722" w14:textId="77777777" w:rsidR="003465BD" w:rsidRPr="0045752C" w:rsidRDefault="003465BD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9B2FA" w14:textId="26D6BE17"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>
        <w:rPr>
          <w:rFonts w:ascii="Times New Roman" w:hAnsi="Times New Roman" w:cs="Times New Roman"/>
          <w:sz w:val="28"/>
          <w:szCs w:val="28"/>
        </w:rPr>
        <w:br/>
      </w:r>
      <w:r w:rsidR="00FD1201" w:rsidRPr="005F3AC7">
        <w:rPr>
          <w:rFonts w:ascii="Times New Roman" w:hAnsi="Times New Roman" w:cs="Times New Roman"/>
          <w:sz w:val="28"/>
          <w:szCs w:val="28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118B216C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работниками </w:t>
            </w:r>
            <w:r w:rsidR="00B21BF0">
              <w:rPr>
                <w:rStyle w:val="a7"/>
                <w:sz w:val="24"/>
                <w:szCs w:val="24"/>
              </w:rPr>
              <w:t>МУ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5BC34FAA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работников </w:t>
            </w:r>
            <w:r w:rsidR="00B21BF0">
              <w:rPr>
                <w:rStyle w:val="a7"/>
                <w:sz w:val="24"/>
                <w:szCs w:val="24"/>
              </w:rPr>
              <w:t>МУ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340C3274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V. Досудебный (внесудебный) порядок обжалования  решений и действий (бездействия) Администрации, </w:t>
            </w:r>
            <w:r w:rsidR="00B21BF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МУ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B21BF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МУ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782020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5F3AC7" w:rsidRDefault="0078202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5E8A609" w14:textId="50A93FC0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99987002"/>
      <w:r w:rsidRPr="005F3A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30F82B2F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B21BF0" w:rsidRPr="0088399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21BF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униципальным</w:t>
      </w:r>
      <w:r w:rsidR="00B21BF0" w:rsidRPr="00883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="00B21BF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21BF0" w:rsidRPr="00883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«Люберецкая ритуальная служба городского округа Люберцы Московской области»</w:t>
      </w:r>
      <w:r w:rsidR="00B21BF0" w:rsidRPr="00E12123">
        <w:rPr>
          <w:color w:val="000000" w:themeColor="text1"/>
          <w:sz w:val="28"/>
          <w:szCs w:val="28"/>
        </w:rPr>
        <w:t xml:space="preserve"> </w:t>
      </w:r>
      <w:r w:rsidR="00D43C1B">
        <w:rPr>
          <w:rFonts w:ascii="Times New Roman" w:hAnsi="Times New Roman" w:cs="Times New Roman"/>
          <w:sz w:val="28"/>
          <w:szCs w:val="28"/>
        </w:rPr>
        <w:t>(далее – М</w:t>
      </w:r>
      <w:r w:rsidR="00D43C1B" w:rsidRPr="00206CEA">
        <w:rPr>
          <w:rFonts w:ascii="Times New Roman" w:hAnsi="Times New Roman" w:cs="Times New Roman"/>
          <w:sz w:val="28"/>
          <w:szCs w:val="28"/>
        </w:rPr>
        <w:t>У</w:t>
      </w:r>
      <w:r w:rsidR="00D43C1B">
        <w:rPr>
          <w:rFonts w:ascii="Times New Roman" w:hAnsi="Times New Roman" w:cs="Times New Roman"/>
          <w:sz w:val="28"/>
          <w:szCs w:val="28"/>
        </w:rPr>
        <w:t xml:space="preserve">) </w:t>
      </w:r>
      <w:r w:rsidR="00D43C1B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B21BF0" w:rsidRPr="00206CEA">
        <w:rPr>
          <w:rFonts w:ascii="Times New Roman" w:hAnsi="Times New Roman" w:cs="Times New Roman"/>
          <w:sz w:val="28"/>
          <w:szCs w:val="28"/>
        </w:rPr>
        <w:t>с</w:t>
      </w:r>
      <w:r w:rsidR="00B21BF0">
        <w:rPr>
          <w:rFonts w:ascii="Times New Roman" w:hAnsi="Times New Roman" w:cs="Times New Roman"/>
          <w:sz w:val="28"/>
          <w:szCs w:val="28"/>
        </w:rPr>
        <w:t xml:space="preserve"> </w:t>
      </w:r>
      <w:r w:rsidR="00B21BF0" w:rsidRPr="00206CEA">
        <w:rPr>
          <w:rFonts w:ascii="Times New Roman" w:hAnsi="Times New Roman" w:cs="Times New Roman"/>
          <w:sz w:val="28"/>
          <w:szCs w:val="28"/>
        </w:rPr>
        <w:t>соблюдением законо</w:t>
      </w:r>
      <w:r w:rsidR="00B21BF0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5B1A9CA" w14:textId="6ED0F841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21BF0">
        <w:rPr>
          <w:rFonts w:ascii="Times New Roman" w:hAnsi="Times New Roman" w:cs="Times New Roman"/>
          <w:sz w:val="28"/>
          <w:szCs w:val="28"/>
        </w:rPr>
        <w:t xml:space="preserve"> </w:t>
      </w:r>
      <w:r w:rsidR="00B21BF0" w:rsidRPr="002827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1BF0">
        <w:rPr>
          <w:rFonts w:ascii="Times New Roman" w:hAnsi="Times New Roman" w:cs="Times New Roman"/>
          <w:sz w:val="28"/>
          <w:szCs w:val="28"/>
        </w:rPr>
        <w:t xml:space="preserve"> городской округ Люберцы </w:t>
      </w:r>
      <w:r w:rsidR="00B21BF0" w:rsidRPr="0028277C">
        <w:rPr>
          <w:rFonts w:ascii="Times New Roman" w:hAnsi="Times New Roman" w:cs="Times New Roman"/>
          <w:sz w:val="28"/>
          <w:szCs w:val="28"/>
        </w:rPr>
        <w:t xml:space="preserve">Московской области, (далее – Администрация), </w:t>
      </w:r>
      <w:r w:rsidR="00320C6A" w:rsidRPr="005F3AC7">
        <w:rPr>
          <w:rFonts w:ascii="Times New Roman" w:hAnsi="Times New Roman" w:cs="Times New Roman"/>
          <w:sz w:val="28"/>
          <w:szCs w:val="28"/>
        </w:rPr>
        <w:t>(</w:t>
      </w:r>
      <w:r w:rsidRPr="005F3AC7">
        <w:rPr>
          <w:rFonts w:ascii="Times New Roman" w:hAnsi="Times New Roman" w:cs="Times New Roman"/>
          <w:sz w:val="28"/>
          <w:szCs w:val="28"/>
        </w:rPr>
        <w:t>дол</w:t>
      </w:r>
      <w:r w:rsidR="00DD3C20" w:rsidRPr="005F3AC7">
        <w:rPr>
          <w:rFonts w:ascii="Times New Roman" w:hAnsi="Times New Roman" w:cs="Times New Roman"/>
          <w:sz w:val="28"/>
          <w:szCs w:val="28"/>
        </w:rPr>
        <w:t>жностных лиц</w:t>
      </w:r>
      <w:r w:rsidR="00320C6A" w:rsidRPr="005F3AC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B21BF0">
        <w:rPr>
          <w:rFonts w:ascii="Times New Roman" w:hAnsi="Times New Roman" w:cs="Times New Roman"/>
          <w:sz w:val="28"/>
          <w:szCs w:val="28"/>
        </w:rPr>
        <w:t>МУ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9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45961BF1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А</w:t>
      </w:r>
      <w:r w:rsidR="001B6434" w:rsidRPr="005F3AC7">
        <w:rPr>
          <w:rFonts w:ascii="Times New Roman" w:hAnsi="Times New Roman" w:cs="Times New Roman"/>
          <w:sz w:val="28"/>
          <w:szCs w:val="28"/>
        </w:rPr>
        <w:t>дминистрация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B21BF0">
        <w:rPr>
          <w:rFonts w:ascii="Times New Roman" w:hAnsi="Times New Roman" w:cs="Times New Roman"/>
          <w:sz w:val="28"/>
          <w:szCs w:val="28"/>
        </w:rPr>
        <w:t>МУ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09E5E676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2.1. Муниципальная услуга предоставляется физическим лицам, обратившимся в </w:t>
      </w:r>
      <w:r w:rsidR="00B21BF0">
        <w:rPr>
          <w:rFonts w:ascii="Times New Roman" w:hAnsi="Times New Roman" w:cs="Times New Roman"/>
          <w:sz w:val="28"/>
          <w:szCs w:val="28"/>
        </w:rPr>
        <w:t>МУ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3065C48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53C6E3FB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241AF" w:rsidRPr="005F3AC7">
        <w:rPr>
          <w:rFonts w:ascii="Times New Roman" w:hAnsi="Times New Roman" w:cs="Times New Roman"/>
          <w:sz w:val="28"/>
          <w:szCs w:val="28"/>
        </w:rPr>
        <w:lastRenderedPageBreak/>
        <w:t xml:space="preserve">служащим, 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B21BF0">
        <w:rPr>
          <w:rFonts w:ascii="Times New Roman" w:hAnsi="Times New Roman" w:cs="Times New Roman"/>
          <w:sz w:val="28"/>
          <w:szCs w:val="28"/>
        </w:rPr>
        <w:t>МУ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18B40ACC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5"/>
    </w:p>
    <w:p w14:paraId="18C2B43A" w14:textId="77777777" w:rsidR="00815BB3" w:rsidRPr="005F3AC7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8CBEC" w14:textId="08925BCD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DC15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154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C154E" w:rsidRPr="002827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C154E">
        <w:rPr>
          <w:rFonts w:ascii="Times New Roman" w:hAnsi="Times New Roman" w:cs="Times New Roman"/>
          <w:sz w:val="28"/>
          <w:szCs w:val="28"/>
        </w:rPr>
        <w:t xml:space="preserve"> городской округ Люберцы </w:t>
      </w:r>
      <w:r w:rsidR="00DC154E" w:rsidRPr="0028277C">
        <w:rPr>
          <w:rFonts w:ascii="Times New Roman" w:hAnsi="Times New Roman" w:cs="Times New Roman"/>
          <w:sz w:val="28"/>
          <w:szCs w:val="28"/>
        </w:rPr>
        <w:t>М</w:t>
      </w:r>
      <w:r w:rsidR="00DC154E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296211" w14:textId="77777777" w:rsidR="00DC154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DC154E" w:rsidRPr="0088399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C154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</w:t>
      </w:r>
      <w:r w:rsidR="00DC154E" w:rsidRPr="00883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«Люберецкая ритуальная служба городского округа Люберцы Московской области»</w:t>
      </w:r>
      <w:r w:rsidR="00DC15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1DFBE0" w14:textId="69FF0390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Непосредственное предоставление муниципальной услуги осуществляет</w:t>
      </w:r>
      <w:r w:rsidR="00DC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размер родственного, почетного,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>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6398051E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B21BF0">
        <w:rPr>
          <w:rFonts w:ascii="Times New Roman" w:hAnsi="Times New Roman" w:cs="Times New Roman"/>
          <w:sz w:val="28"/>
          <w:szCs w:val="28"/>
        </w:rPr>
        <w:t>МУ</w:t>
      </w:r>
      <w:r w:rsidR="00206CEA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69FB6A93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</w:t>
      </w:r>
      <w:r w:rsidR="00B21BF0">
        <w:rPr>
          <w:rFonts w:ascii="Times New Roman" w:hAnsi="Times New Roman" w:cs="Times New Roman"/>
          <w:sz w:val="28"/>
          <w:szCs w:val="28"/>
        </w:rPr>
        <w:t>МУ</w:t>
      </w:r>
      <w:r w:rsidRPr="005F3AC7">
        <w:rPr>
          <w:rFonts w:ascii="Times New Roman" w:hAnsi="Times New Roman" w:cs="Times New Roman"/>
          <w:sz w:val="28"/>
          <w:szCs w:val="28"/>
        </w:rPr>
        <w:t>. В этом случае работником МФЦ распечатывается из Модуля МФЦ ЕИС ОУ</w:t>
      </w:r>
      <w:r w:rsidR="00DC154E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5F0CD02E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.3. В </w:t>
      </w:r>
      <w:r w:rsidR="00B21BF0">
        <w:rPr>
          <w:rFonts w:ascii="Times New Roman" w:hAnsi="Times New Roman" w:cs="Times New Roman"/>
          <w:sz w:val="28"/>
          <w:szCs w:val="28"/>
        </w:rPr>
        <w:t>МУ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документа.</w:t>
      </w:r>
    </w:p>
    <w:p w14:paraId="180330E4" w14:textId="099B6D0D"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</w:t>
      </w:r>
      <w:r w:rsidR="00B21BF0">
        <w:rPr>
          <w:rFonts w:ascii="Times New Roman" w:hAnsi="Times New Roman" w:cs="Times New Roman"/>
          <w:sz w:val="28"/>
          <w:szCs w:val="28"/>
        </w:rPr>
        <w:t>МУ</w:t>
      </w:r>
      <w:r w:rsidR="00206CEA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D775EF0" w14:textId="37E8AC15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21BF0">
        <w:rPr>
          <w:rFonts w:ascii="Times New Roman" w:hAnsi="Times New Roman" w:cs="Times New Roman"/>
          <w:sz w:val="28"/>
          <w:szCs w:val="28"/>
        </w:rPr>
        <w:t>МУ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42570DAD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ЭПЦ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21BF0">
        <w:rPr>
          <w:rFonts w:ascii="Times New Roman" w:hAnsi="Times New Roman" w:cs="Times New Roman"/>
          <w:sz w:val="28"/>
          <w:szCs w:val="28"/>
        </w:rPr>
        <w:t>МУ</w:t>
      </w:r>
      <w:r w:rsidR="00D43C1B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20B47AD2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"/>
      <w:bookmarkEnd w:id="7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выданном удостоверении вносятся 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517DF535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46D87D04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в МФЦ,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10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7A40DB2A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2290F51E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5204D940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5686109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должностных лиц, 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0329F009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="003829B9" w:rsidRPr="00572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</w:t>
      </w:r>
      <w:r w:rsidR="005724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29B9" w:rsidRPr="0057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78B3942D"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26015EB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 за предоставлением муниципальной услуги, которая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1D9C866D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уполномоченного должностного лица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Личный кабинет заявителя 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237D73AC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9.2.3. При обращении непосредственно в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D4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уполномоченным должностным лицом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14F0B8D3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10.2.7. Удостоверение о семейном (родовом) захоронении на истребуемое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30A6191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5F3AC7">
        <w:rPr>
          <w:rFonts w:ascii="Times New Roman" w:hAnsi="Times New Roman" w:cs="Times New Roman"/>
          <w:sz w:val="28"/>
          <w:szCs w:val="28"/>
        </w:rPr>
        <w:t>ых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5F3AC7">
        <w:rPr>
          <w:rFonts w:ascii="Times New Roman" w:hAnsi="Times New Roman" w:cs="Times New Roman"/>
          <w:sz w:val="28"/>
          <w:szCs w:val="28"/>
        </w:rPr>
        <w:t>й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5CD4A0B7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3CBF363A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0B4D5F68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3251CDAF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3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074C6F32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Bookmark5"/>
      <w:bookmarkEnd w:id="14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7B897D53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заявителя о совершении факта оплаты платежа за оформление родственных, почетных, воинских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о подтверждении поступления платежа в ГИС ГМП.</w:t>
      </w:r>
    </w:p>
    <w:p w14:paraId="276B9DBC" w14:textId="51C4049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67EFFBD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610A311A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в</w:t>
      </w:r>
      <w:r w:rsidR="00D4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2FBFCB9C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6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32A017E1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7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7AEA480E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19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0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2A29298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6BFE19A9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16.3.5. В МФЦ исключается взаимодействие заявителя с должностными лицами, работниками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51FECD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о получении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</w:t>
      </w:r>
      <w:r w:rsidR="00D4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5311A81E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принимается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4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2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6AFECDB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Администрацию/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666D779D" w:rsidR="00743ADD" w:rsidRPr="005F3AC7" w:rsidRDefault="00B21BF0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19CC5571" w:rsidR="00743ADD" w:rsidRPr="005F3AC7" w:rsidRDefault="00B21BF0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4EF69F66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3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7EE8D0A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B21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12AECF28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ADF05A" w14:textId="77777777" w:rsidR="00B21BF0" w:rsidRDefault="00B21BF0" w:rsidP="00B21BF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998702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20. Порядок осуществления текущего контроля за соблюдением и исполнением ответственными должностными лицами, работниками МУ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предоставлению муниципальной услуги, а также принятием ими решений</w:t>
      </w:r>
      <w:bookmarkEnd w:id="26"/>
    </w:p>
    <w:p w14:paraId="7FEAA9BF" w14:textId="77777777" w:rsidR="00B21BF0" w:rsidRDefault="00B21BF0" w:rsidP="00B21B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7F0AA8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Текущий контроль за соблюдением и исполнением ответственными должностными лицами, работниками МУ положений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решения, действия (бездействие) должностных лиц, работников МУ.</w:t>
      </w:r>
    </w:p>
    <w:p w14:paraId="6CC8BC0D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предоставлением муниципальной услуги являются:</w:t>
      </w:r>
    </w:p>
    <w:p w14:paraId="6BE32393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03D8AAFA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A23F3F1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должностное лицо, работник МУ, уполномоченные на его осуществление,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находятся в служебной зависимости от должностного лица, работника МУ,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0522417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лица, работники МУ,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2A3F6165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муниципальной услуги состоит в исполнении должностными лицами,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обязанностей, предусмотренных настоящим подразделом.</w:t>
      </w:r>
    </w:p>
    <w:p w14:paraId="5C882DC4" w14:textId="77777777" w:rsidR="00B21BF0" w:rsidRDefault="00B21BF0" w:rsidP="00B2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09C61" w14:textId="77777777" w:rsidR="00B21BF0" w:rsidRDefault="00B21BF0" w:rsidP="00B21BF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27"/>
    </w:p>
    <w:p w14:paraId="028C2FD3" w14:textId="77777777" w:rsidR="00B21BF0" w:rsidRDefault="00B21BF0" w:rsidP="00B21B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7136B6C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14:paraId="1F0CE9CD" w14:textId="77777777" w:rsidR="00B21BF0" w:rsidRDefault="00B21BF0" w:rsidP="00B21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4D72269A" w14:textId="77777777" w:rsidR="00B21BF0" w:rsidRDefault="00B21BF0" w:rsidP="00B21BF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7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22. Ответственность должностных лиц, работников МУ за решения и действия (бездействие), принимаемые (осуществляемые) ими в ходе предоставления муниципальной услуги</w:t>
      </w:r>
      <w:bookmarkEnd w:id="28"/>
    </w:p>
    <w:p w14:paraId="2F3FC693" w14:textId="77777777" w:rsidR="00B21BF0" w:rsidRDefault="00B21BF0" w:rsidP="00B21B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B1CD12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Должностные лица, работники МУ,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C14F2F3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 МУ, ответственным за предоставление муниципальной услуги, а также за соблюдением порядка предоставления муниципальной услуги, является руководитель МУ, непосредственно предоставляющего муниципальную услугу.</w:t>
      </w:r>
    </w:p>
    <w:p w14:paraId="1AB90BBA" w14:textId="77777777" w:rsidR="00B21BF0" w:rsidRDefault="00B21BF0" w:rsidP="00B2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3A1EE" w14:textId="77777777" w:rsidR="00B21BF0" w:rsidRDefault="00B21BF0" w:rsidP="00B21B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99987028"/>
      <w:r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4E680C9D" w14:textId="77777777" w:rsidR="00B21BF0" w:rsidRDefault="00B21BF0" w:rsidP="00B21B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B8C51F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и формах, предусмотренными подразделами 20-22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D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336EE0D2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FB3B8B9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CC26247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МУ,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МУ и принятые ими решения, связанные с предоставлением муниципальной услуги.</w:t>
      </w:r>
    </w:p>
    <w:p w14:paraId="78412C29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стороны граждан, их объединений и организаций, осуществляется посредством открытости деятельности МУ, а также МФЦ при предоставлении муниципальной услуги, получения полной, актуальной и достоверной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7481029" w14:textId="77777777" w:rsidR="00B21BF0" w:rsidRDefault="00B21BF0" w:rsidP="00B2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0EB0F" w14:textId="77777777" w:rsidR="00B21BF0" w:rsidRDefault="00B21BF0" w:rsidP="00B21BF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99987029"/>
      <w:r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>
        <w:rPr>
          <w:rFonts w:ascii="Times New Roman" w:hAnsi="Times New Roman" w:cs="Times New Roman"/>
          <w:b w:val="0"/>
          <w:color w:val="auto"/>
        </w:rPr>
        <w:br/>
        <w:t xml:space="preserve">решений и действий (бездействия) Администрации, МУ, </w:t>
      </w:r>
      <w:r>
        <w:rPr>
          <w:rFonts w:ascii="Times New Roman" w:hAnsi="Times New Roman" w:cs="Times New Roman"/>
          <w:b w:val="0"/>
          <w:color w:val="auto"/>
        </w:rPr>
        <w:br/>
        <w:t>должностных лиц, муниципальных служащих, работников Администрации, должностных лиц, работников МУ, работников МФЦ</w:t>
      </w:r>
      <w:bookmarkEnd w:id="30"/>
    </w:p>
    <w:p w14:paraId="12666329" w14:textId="77777777" w:rsidR="00B21BF0" w:rsidRDefault="00B21BF0" w:rsidP="00B2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F6E505" w14:textId="77777777" w:rsidR="00B21BF0" w:rsidRDefault="00B21BF0" w:rsidP="00B21BF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9998703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31"/>
    </w:p>
    <w:p w14:paraId="26BCFBCF" w14:textId="77777777" w:rsidR="00B21BF0" w:rsidRDefault="00B21BF0" w:rsidP="00B21B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150BF1" w14:textId="77777777" w:rsidR="00B21BF0" w:rsidRDefault="00B21BF0" w:rsidP="00B21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(должностных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 (должностных лиц, работников), МФЦ (работников) осуществляется посредством размещения информации на стендах в местах предоставления муниципальных услуг, на официальных сайтах Администрации, МУ, МФЦ, Учредителей МФЦ, РПГУ, а также в ходе консультирования заявителей, в том числе по телефону, адресу электронной почты и при личном приеме.</w:t>
      </w:r>
    </w:p>
    <w:p w14:paraId="3177EAED" w14:textId="77777777" w:rsidR="00B21BF0" w:rsidRDefault="00B21BF0" w:rsidP="00B21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C5FC9" w14:textId="77777777" w:rsidR="00B21BF0" w:rsidRDefault="00B21BF0" w:rsidP="00B21BF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2"/>
    </w:p>
    <w:p w14:paraId="1E738C1F" w14:textId="77777777" w:rsidR="00B21BF0" w:rsidRDefault="00B21BF0" w:rsidP="00B21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33C87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25.1. Досудебное (внесудебное) обжалование решений и действий (бездействия) Администрации (должностных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 (должностных лиц, работников), МФЦ (работников)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FC5FAE2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(далее – в письменной форме) или в электронной форме.</w:t>
      </w:r>
    </w:p>
    <w:p w14:paraId="593682E5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МУ, МФЦ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1B488062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771E660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779FC23E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Официального сайта Администрации, МУ, МФЦ, Учредителя МФЦ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46EBCEC4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5F6813FC" w14:textId="77777777" w:rsidR="00B21BF0" w:rsidRDefault="00B21BF0" w:rsidP="00B21B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3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3"/>
    </w:p>
    <w:p w14:paraId="52052A97" w14:textId="7010A9C1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4" w:name="_Hlk33611242"/>
      <w:r w:rsidRPr="005F3AC7">
        <w:rPr>
          <w:rFonts w:ascii="Times New Roman" w:hAnsi="Times New Roman" w:cs="Times New Roman"/>
          <w:lang w:eastAsia="ru-RU"/>
        </w:rPr>
        <w:t>к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4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5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5"/>
    </w:p>
    <w:p w14:paraId="2DC686C5" w14:textId="17AA8DB0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6"/>
    </w:p>
    <w:p w14:paraId="69AFFB38" w14:textId="7DBC21CC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22830A31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 xml:space="preserve">) </w:t>
      </w:r>
      <w:r w:rsidR="00071590" w:rsidRPr="00071590">
        <w:rPr>
          <w:rFonts w:ascii="Times New Roman" w:hAnsi="Times New Roman" w:cs="Times New Roman"/>
          <w:color w:val="000000" w:themeColor="text1"/>
        </w:rPr>
        <w:t>М</w:t>
      </w:r>
      <w:r w:rsidR="00071590">
        <w:rPr>
          <w:rFonts w:ascii="Times New Roman" w:hAnsi="Times New Roman" w:cs="Times New Roman"/>
          <w:color w:val="000000" w:themeColor="text1"/>
        </w:rPr>
        <w:t>униципальное</w:t>
      </w:r>
      <w:r w:rsidR="00071590" w:rsidRPr="00071590">
        <w:rPr>
          <w:rFonts w:ascii="Times New Roman" w:hAnsi="Times New Roman" w:cs="Times New Roman"/>
          <w:color w:val="000000" w:themeColor="text1"/>
        </w:rPr>
        <w:t xml:space="preserve"> учреждение «Люберецкая ритуальная служба городского округа Люберцы Московской области»</w:t>
      </w:r>
      <w:r w:rsidR="00071590" w:rsidRPr="00071590">
        <w:rPr>
          <w:color w:val="000000" w:themeColor="text1"/>
        </w:rPr>
        <w:t xml:space="preserve"> </w:t>
      </w:r>
      <w:r w:rsidR="00071590">
        <w:rPr>
          <w:rFonts w:ascii="Times New Roman" w:hAnsi="Times New Roman" w:cs="Times New Roman"/>
          <w:bCs/>
        </w:rPr>
        <w:t xml:space="preserve"> рассмотре</w:t>
      </w:r>
      <w:r w:rsidRPr="00071590">
        <w:rPr>
          <w:rFonts w:ascii="Times New Roman" w:hAnsi="Times New Roman" w:cs="Times New Roman"/>
          <w:bCs/>
        </w:rPr>
        <w:t>ло заявление о предоставлении муниципальной</w:t>
      </w:r>
      <w:r w:rsidRPr="005F3AC7">
        <w:rPr>
          <w:rFonts w:ascii="Times New Roman" w:hAnsi="Times New Roman" w:cs="Times New Roman"/>
          <w:bCs/>
          <w:szCs w:val="24"/>
        </w:rPr>
        <w:t xml:space="preserve"> услуги</w:t>
      </w:r>
      <w:r w:rsidR="00071590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приняла(ло)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7"/>
    </w:p>
    <w:p w14:paraId="1363D0AE" w14:textId="182AC45B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8"/>
    </w:p>
    <w:p w14:paraId="3BE29DE0" w14:textId="28F46AF2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3EB0C4C9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1E7A1AF4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 xml:space="preserve">«Об утверждении Порядка разработки и утверждения административных регламентов </w:t>
      </w:r>
      <w:bookmarkStart w:id="39" w:name="_GoBack"/>
      <w:bookmarkEnd w:id="39"/>
      <w:r w:rsidR="0002562E" w:rsidRPr="005F3AC7">
        <w:rPr>
          <w:rFonts w:ascii="Times New Roman" w:hAnsi="Times New Roman" w:cs="Times New Roman"/>
        </w:rPr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1ADC84AA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Устав</w:t>
      </w:r>
      <w:r w:rsidR="00B774C5">
        <w:rPr>
          <w:rFonts w:ascii="Times New Roman" w:hAnsi="Times New Roman" w:cs="Times New Roman"/>
        </w:rPr>
        <w:t xml:space="preserve"> городского округа Люберцы</w:t>
      </w:r>
      <w:r w:rsidR="0002562E" w:rsidRPr="005F3AC7">
        <w:rPr>
          <w:rFonts w:ascii="Times New Roman" w:hAnsi="Times New Roman" w:cs="Times New Roman"/>
        </w:rPr>
        <w:t>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043F60B4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 </w:t>
      </w:r>
      <w:r w:rsidR="002C0522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6E752342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 xml:space="preserve">в </w:t>
      </w:r>
      <w:r w:rsidR="00B21B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1CABC334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поле активно в случае обращения заявителя непосредственно в </w:t>
      </w:r>
      <w:r w:rsidR="00B21BF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31285B60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19B95605" w:rsidR="0002562E" w:rsidRPr="005F3AC7" w:rsidRDefault="0002562E" w:rsidP="00B774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1B353394" w:rsidR="0002562E" w:rsidRPr="005F3AC7" w:rsidRDefault="0002562E" w:rsidP="00B774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r w:rsidR="00B2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63087BCC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45AB492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BF0">
        <w:rPr>
          <w:rFonts w:ascii="Times New Roman" w:hAnsi="Times New Roman" w:cs="Times New Roman"/>
          <w:i/>
          <w:sz w:val="24"/>
          <w:szCs w:val="24"/>
        </w:rPr>
        <w:t>МУ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06AF79BD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14DDEEA0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38B57E9D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36FD595F" w:rsidR="007B76F4" w:rsidRPr="005F3AC7" w:rsidRDefault="007B76F4" w:rsidP="00B774C5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 </w:t>
            </w:r>
            <w:r w:rsidR="00B21BF0"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305A752B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</w:t>
            </w:r>
            <w:r w:rsidR="00B21BF0">
              <w:rPr>
                <w:rFonts w:ascii="Times New Roman" w:hAnsi="Times New Roman" w:cs="Times New Roman"/>
              </w:rPr>
              <w:t>МУ</w:t>
            </w:r>
            <w:r w:rsidRPr="005F3AC7">
              <w:rPr>
                <w:rFonts w:ascii="Times New Roman" w:hAnsi="Times New Roman" w:cs="Times New Roman"/>
              </w:rPr>
              <w:t xml:space="preserve">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57FA446D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подаче заявления в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47E81659" w:rsidR="007B76F4" w:rsidRPr="005F3AC7" w:rsidRDefault="007B76F4" w:rsidP="00B774C5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</w:t>
            </w:r>
            <w:r w:rsidR="00B21BF0"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2DAE28C7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B774C5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</w:t>
            </w:r>
            <w:r w:rsidRPr="005F3AC7">
              <w:rPr>
                <w:rFonts w:ascii="Times New Roman" w:hAnsi="Times New Roman" w:cs="Times New Roman"/>
              </w:rPr>
              <w:lastRenderedPageBreak/>
              <w:t>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0D5F28F9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МФЦ, уполномоченное(ый)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на предмет наличия оснований для отказа в приеме документов,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16B3814C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42AA328D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16621F4C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4D575271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0C9F6CE3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5B20E8ED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работник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4A08FF20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53373980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964644">
              <w:rPr>
                <w:rFonts w:eastAsia="Times New Roman"/>
                <w:sz w:val="22"/>
                <w:szCs w:val="22"/>
              </w:rPr>
              <w:t xml:space="preserve">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08A5C23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формирует в РГИС предварительное решение об оформлении родственного, почетного, воинского захоронения как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5A185BD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>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7389541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0C0892CA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лично в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3FF3FF6A" w:rsidR="007B76F4" w:rsidRPr="005F3AC7" w:rsidRDefault="00B21BF0" w:rsidP="0006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="007B76F4" w:rsidRPr="005F3AC7">
              <w:rPr>
                <w:rFonts w:ascii="Times New Roman" w:hAnsi="Times New Roman" w:cs="Times New Roman"/>
              </w:rPr>
              <w:t xml:space="preserve">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411AF7A1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Поступление в Администрацию либо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0E9A498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500430A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0F8424FC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</w:t>
            </w:r>
            <w:r w:rsidR="00B774C5">
              <w:rPr>
                <w:rFonts w:ascii="Times New Roman" w:eastAsia="Times New Roman" w:hAnsi="Times New Roman" w:cs="Times New Roman"/>
                <w:kern w:val="0"/>
              </w:rPr>
              <w:t>М</w:t>
            </w:r>
            <w:r w:rsidR="00B21BF0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2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13053A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Уполномоченное должностное лицо работник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работнику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4AB4E615" w:rsidR="007B76F4" w:rsidRPr="005F3AC7" w:rsidRDefault="00B21BF0" w:rsidP="0006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="007B76F4" w:rsidRPr="005F3AC7">
              <w:rPr>
                <w:rFonts w:ascii="Times New Roman" w:hAnsi="Times New Roman" w:cs="Times New Roman"/>
              </w:rPr>
              <w:t xml:space="preserve"> /РГИС</w:t>
            </w:r>
            <w:r w:rsidR="007B76F4"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18EB9C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0EEFB48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1CEE76E4" w:rsidR="007B76F4" w:rsidRPr="005F3AC7" w:rsidRDefault="00B21BF0" w:rsidP="0006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</w:t>
            </w:r>
            <w:r w:rsidR="007B76F4" w:rsidRPr="005F3AC7">
              <w:rPr>
                <w:rFonts w:ascii="Times New Roman" w:hAnsi="Times New Roman" w:cs="Times New Roman"/>
              </w:rPr>
              <w:t xml:space="preserve"> /РГИС</w:t>
            </w:r>
            <w:r w:rsidR="007B76F4"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53334B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547EF32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B774C5">
              <w:rPr>
                <w:rFonts w:eastAsia="Times New Roman"/>
                <w:sz w:val="22"/>
                <w:szCs w:val="22"/>
              </w:rPr>
              <w:t>,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>упо</w:t>
            </w:r>
            <w:r w:rsidR="00B774C5">
              <w:rPr>
                <w:rFonts w:eastAsia="Times New Roman"/>
                <w:sz w:val="22"/>
                <w:szCs w:val="22"/>
              </w:rPr>
              <w:t xml:space="preserve">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6C40EF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Администрация либо </w:t>
            </w:r>
            <w:r w:rsidR="00B21BF0">
              <w:rPr>
                <w:rFonts w:ascii="Times New Roman" w:hAnsi="Times New Roman" w:cs="Times New Roman"/>
              </w:rPr>
              <w:t>МУ</w:t>
            </w:r>
            <w:r w:rsidRPr="005F3AC7">
              <w:rPr>
                <w:rFonts w:ascii="Times New Roman" w:hAnsi="Times New Roman" w:cs="Times New Roman"/>
              </w:rPr>
              <w:t xml:space="preserve">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4C59EA06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 xml:space="preserve">в Администрация либо </w:t>
            </w:r>
            <w:r w:rsidR="00B21BF0">
              <w:rPr>
                <w:rFonts w:ascii="Times New Roman" w:hAnsi="Times New Roman" w:cs="Times New Roman"/>
              </w:rPr>
              <w:t>МУ</w:t>
            </w:r>
            <w:r w:rsidR="00E95942">
              <w:rPr>
                <w:rFonts w:ascii="Times New Roman" w:hAnsi="Times New Roman" w:cs="Times New Roman"/>
              </w:rPr>
              <w:t xml:space="preserve">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11E7FAFA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 в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0B93F6E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10EB4A2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6E6EF019" w14:textId="2D89861A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0FEA608D" w:rsidR="007B76F4" w:rsidRPr="005F3AC7" w:rsidRDefault="00B21BF0" w:rsidP="0006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="007B76F4" w:rsidRPr="005F3AC7">
              <w:rPr>
                <w:rFonts w:ascii="Times New Roman" w:hAnsi="Times New Roman" w:cs="Times New Roman"/>
              </w:rPr>
              <w:t xml:space="preserve"> /РГИС</w:t>
            </w:r>
            <w:r w:rsidR="007B76F4"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2D86B12E" w:rsidR="007B76F4" w:rsidRPr="005F3AC7" w:rsidRDefault="007B76F4" w:rsidP="00B774C5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Не позднее 1 рабочего дня, следующего за днем принятия решения,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2347EEC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19A0238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работником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2F80E191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7E5A4F7D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Администрацию либо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B21BF0">
              <w:rPr>
                <w:rFonts w:ascii="Times New Roman" w:eastAsia="Times New Roman" w:hAnsi="Times New Roman" w:cs="Times New Roman"/>
              </w:rPr>
              <w:t>МУ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1FE0C8A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58B229A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="00B21BF0">
              <w:rPr>
                <w:rFonts w:eastAsia="Times New Roman"/>
                <w:sz w:val="22"/>
                <w:szCs w:val="22"/>
              </w:rPr>
              <w:t>МУ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выдача (направление) заявителю 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10E52" w15:done="0"/>
  <w15:commentEx w15:paraId="6BF9A3E8" w15:done="0"/>
  <w15:commentEx w15:paraId="640D0A34" w15:done="0"/>
  <w15:commentEx w15:paraId="0630CA09" w15:done="0"/>
  <w15:commentEx w15:paraId="5C66A9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73851" w14:textId="77777777" w:rsidR="00782020" w:rsidRDefault="00782020" w:rsidP="00F40970">
      <w:pPr>
        <w:spacing w:after="0" w:line="240" w:lineRule="auto"/>
      </w:pPr>
      <w:r>
        <w:separator/>
      </w:r>
    </w:p>
  </w:endnote>
  <w:endnote w:type="continuationSeparator" w:id="0">
    <w:p w14:paraId="3A60FF7B" w14:textId="77777777" w:rsidR="00782020" w:rsidRDefault="00782020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B4ED5" w14:textId="77777777" w:rsidR="00782020" w:rsidRDefault="00782020" w:rsidP="00F40970">
      <w:pPr>
        <w:spacing w:after="0" w:line="240" w:lineRule="auto"/>
      </w:pPr>
      <w:r>
        <w:separator/>
      </w:r>
    </w:p>
  </w:footnote>
  <w:footnote w:type="continuationSeparator" w:id="0">
    <w:p w14:paraId="2EA8F67A" w14:textId="77777777" w:rsidR="00782020" w:rsidRDefault="00782020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071590" w:rsidRPr="009F7A42" w:rsidRDefault="0007159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2498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071590" w:rsidRDefault="0007159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8f5513572ca70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5625C"/>
    <w:rsid w:val="00060632"/>
    <w:rsid w:val="00060894"/>
    <w:rsid w:val="00060B70"/>
    <w:rsid w:val="00061550"/>
    <w:rsid w:val="00063C88"/>
    <w:rsid w:val="000664EB"/>
    <w:rsid w:val="000666D3"/>
    <w:rsid w:val="00071590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2AA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2498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020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1BF0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4C5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4C76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3C1B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154E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D9BD-856F-42A3-A996-E25CFC10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17775</Words>
  <Characters>101323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2022-05-19T11:53:00Z</cp:lastPrinted>
  <dcterms:created xsi:type="dcterms:W3CDTF">2022-05-26T11:46:00Z</dcterms:created>
  <dcterms:modified xsi:type="dcterms:W3CDTF">2022-05-26T11:46:00Z</dcterms:modified>
</cp:coreProperties>
</file>