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69" w:rsidRPr="00333E69" w:rsidRDefault="00333E69" w:rsidP="0026341C">
      <w:pPr>
        <w:ind w:left="0" w:right="-2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33E6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33E69" w:rsidRPr="00333E69" w:rsidRDefault="00333E69" w:rsidP="0026341C">
      <w:pPr>
        <w:ind w:left="0"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33E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33E69" w:rsidRPr="00333E69" w:rsidRDefault="00333E69" w:rsidP="0026341C">
      <w:pPr>
        <w:ind w:left="0"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33E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</w:t>
      </w:r>
      <w:bookmarkStart w:id="0" w:name="_GoBack"/>
      <w:bookmarkEnd w:id="0"/>
      <w:r w:rsidRPr="00333E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БЕРЦЫ</w:t>
      </w:r>
      <w:r w:rsidRPr="00333E6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33E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33E69" w:rsidRPr="00333E69" w:rsidRDefault="00333E69" w:rsidP="0026341C">
      <w:pPr>
        <w:spacing w:line="100" w:lineRule="atLeast"/>
        <w:ind w:left="0" w:right="-2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33E69" w:rsidRPr="00333E69" w:rsidRDefault="00333E69" w:rsidP="0026341C">
      <w:pPr>
        <w:spacing w:line="100" w:lineRule="atLeast"/>
        <w:ind w:left="0" w:right="-2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33E6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33E69" w:rsidRPr="00333E69" w:rsidRDefault="00333E69" w:rsidP="0026341C">
      <w:pPr>
        <w:ind w:left="0" w:right="-2"/>
        <w:jc w:val="center"/>
        <w:rPr>
          <w:rFonts w:ascii="Arial" w:hAnsi="Arial" w:cs="Arial"/>
          <w:sz w:val="24"/>
          <w:szCs w:val="24"/>
        </w:rPr>
      </w:pPr>
    </w:p>
    <w:p w:rsidR="00333E69" w:rsidRPr="00333E69" w:rsidRDefault="00333E69" w:rsidP="0026341C">
      <w:pPr>
        <w:ind w:left="0" w:right="-2"/>
        <w:jc w:val="center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г. Люберцы</w:t>
      </w:r>
    </w:p>
    <w:p w:rsidR="00333E69" w:rsidRPr="0026341C" w:rsidRDefault="00333E69" w:rsidP="00333E69">
      <w:pPr>
        <w:pStyle w:val="a3"/>
        <w:spacing w:before="89" w:line="322" w:lineRule="exact"/>
        <w:ind w:left="0"/>
        <w:jc w:val="left"/>
        <w:rPr>
          <w:rFonts w:ascii="Arial" w:hAnsi="Arial" w:cs="Arial"/>
          <w:b w:val="0"/>
          <w:sz w:val="24"/>
          <w:szCs w:val="24"/>
        </w:rPr>
      </w:pPr>
      <w:r w:rsidRPr="0026341C">
        <w:rPr>
          <w:rFonts w:ascii="Arial" w:hAnsi="Arial" w:cs="Arial"/>
          <w:b w:val="0"/>
          <w:sz w:val="24"/>
          <w:szCs w:val="24"/>
        </w:rPr>
        <w:t>31.10.2022                                                                                  №4368-ПА</w:t>
      </w:r>
    </w:p>
    <w:p w:rsidR="00333E69" w:rsidRPr="00333E69" w:rsidRDefault="00333E69" w:rsidP="00333E69">
      <w:pPr>
        <w:pStyle w:val="a3"/>
        <w:spacing w:before="89" w:line="322" w:lineRule="exact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pStyle w:val="a3"/>
        <w:spacing w:before="89" w:line="322" w:lineRule="exact"/>
        <w:ind w:left="0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О</w:t>
      </w:r>
      <w:r w:rsidRPr="00333E69">
        <w:rPr>
          <w:rFonts w:ascii="Arial" w:hAnsi="Arial" w:cs="Arial"/>
          <w:spacing w:val="-2"/>
          <w:sz w:val="24"/>
          <w:szCs w:val="24"/>
        </w:rPr>
        <w:t>б утверждении муниципальной программы городского округа Люберцы Московской области</w:t>
      </w:r>
    </w:p>
    <w:p w:rsidR="00333E69" w:rsidRPr="00333E69" w:rsidRDefault="00333E69" w:rsidP="00333E69">
      <w:pPr>
        <w:pStyle w:val="a3"/>
        <w:ind w:left="0" w:right="295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«Предпринимательство»</w:t>
      </w:r>
    </w:p>
    <w:p w:rsidR="00333E69" w:rsidRPr="00333E69" w:rsidRDefault="00333E69" w:rsidP="00333E69">
      <w:pPr>
        <w:pStyle w:val="a3"/>
        <w:ind w:left="0" w:right="295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ind w:left="0" w:right="63" w:firstLine="567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333E69">
        <w:rPr>
          <w:rFonts w:ascii="Arial" w:hAnsi="Arial" w:cs="Arial"/>
          <w:sz w:val="24"/>
          <w:szCs w:val="24"/>
        </w:rPr>
        <w:t>В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соответствии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со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ст.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179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Бюджетного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кодекса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Российской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Федерации,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местного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самоуправления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в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Российской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Федерации»,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Уставом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муниципального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образования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городской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округ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Люберцы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Московской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области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, </w:t>
      </w:r>
      <w:r w:rsidRPr="00333E69">
        <w:rPr>
          <w:rFonts w:ascii="Arial" w:hAnsi="Arial" w:cs="Arial"/>
          <w:sz w:val="24"/>
          <w:szCs w:val="24"/>
        </w:rPr>
        <w:t>Постановлением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администрации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муниципального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образования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городской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округ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Люберцы</w:t>
      </w:r>
      <w:r w:rsidRPr="00333E69">
        <w:rPr>
          <w:rFonts w:ascii="Arial" w:hAnsi="Arial" w:cs="Arial"/>
          <w:spacing w:val="-67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Московской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области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от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24.10.2022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№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4263-ПА</w:t>
      </w:r>
      <w:r w:rsidRPr="00333E69">
        <w:rPr>
          <w:rFonts w:ascii="Arial" w:hAnsi="Arial" w:cs="Arial"/>
          <w:spacing w:val="70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«Об</w:t>
      </w:r>
      <w:r w:rsidRPr="00333E69">
        <w:rPr>
          <w:rFonts w:ascii="Arial" w:hAnsi="Arial" w:cs="Arial"/>
          <w:spacing w:val="70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утверждении</w:t>
      </w:r>
      <w:r w:rsidRPr="00333E69">
        <w:rPr>
          <w:rFonts w:ascii="Arial" w:hAnsi="Arial" w:cs="Arial"/>
          <w:spacing w:val="70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Порядка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разработки и реализации муниципальных программ,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333E69" w:rsidRPr="00333E69" w:rsidRDefault="00333E69" w:rsidP="00333E69">
      <w:pPr>
        <w:ind w:left="0" w:right="63"/>
        <w:jc w:val="both"/>
        <w:rPr>
          <w:rFonts w:ascii="Arial" w:hAnsi="Arial" w:cs="Arial"/>
          <w:sz w:val="24"/>
          <w:szCs w:val="24"/>
        </w:rPr>
      </w:pPr>
    </w:p>
    <w:p w:rsidR="00333E69" w:rsidRPr="00333E69" w:rsidRDefault="00333E69" w:rsidP="0026341C">
      <w:pPr>
        <w:ind w:left="0" w:right="63" w:firstLine="567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1. Утвердить прилагаемую муниципальную программу городского округа Люберцы Московской области «Развитие сельского хозяйства». </w:t>
      </w:r>
    </w:p>
    <w:p w:rsidR="00333E69" w:rsidRPr="00333E69" w:rsidRDefault="00333E69" w:rsidP="0026341C">
      <w:pPr>
        <w:ind w:left="0" w:right="63" w:firstLine="567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2. Опубликовать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настоящее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Постановление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в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средствах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массовой</w:t>
      </w:r>
      <w:r w:rsidRPr="00333E69">
        <w:rPr>
          <w:rFonts w:ascii="Arial" w:hAnsi="Arial" w:cs="Arial"/>
          <w:spacing w:val="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информации</w:t>
      </w:r>
      <w:r w:rsidRPr="00333E69">
        <w:rPr>
          <w:rFonts w:ascii="Arial" w:hAnsi="Arial" w:cs="Arial"/>
          <w:spacing w:val="5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и</w:t>
      </w:r>
      <w:r w:rsidRPr="00333E69">
        <w:rPr>
          <w:rFonts w:ascii="Arial" w:hAnsi="Arial" w:cs="Arial"/>
          <w:spacing w:val="5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разместить</w:t>
      </w:r>
      <w:r w:rsidRPr="00333E69">
        <w:rPr>
          <w:rFonts w:ascii="Arial" w:hAnsi="Arial" w:cs="Arial"/>
          <w:spacing w:val="50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на</w:t>
      </w:r>
      <w:r w:rsidRPr="00333E69">
        <w:rPr>
          <w:rFonts w:ascii="Arial" w:hAnsi="Arial" w:cs="Arial"/>
          <w:spacing w:val="5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официальном</w:t>
      </w:r>
      <w:r w:rsidRPr="00333E69">
        <w:rPr>
          <w:rFonts w:ascii="Arial" w:hAnsi="Arial" w:cs="Arial"/>
          <w:spacing w:val="5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сайте</w:t>
      </w:r>
      <w:r w:rsidRPr="00333E69">
        <w:rPr>
          <w:rFonts w:ascii="Arial" w:hAnsi="Arial" w:cs="Arial"/>
          <w:spacing w:val="53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администрации</w:t>
      </w:r>
      <w:r w:rsidRPr="00333E69">
        <w:rPr>
          <w:rFonts w:ascii="Arial" w:hAnsi="Arial" w:cs="Arial"/>
          <w:spacing w:val="54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в</w:t>
      </w:r>
      <w:r w:rsidRPr="00333E69">
        <w:rPr>
          <w:rFonts w:ascii="Arial" w:hAnsi="Arial" w:cs="Arial"/>
          <w:spacing w:val="48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сети «Интернет».</w:t>
      </w:r>
    </w:p>
    <w:p w:rsidR="00333E69" w:rsidRPr="00333E69" w:rsidRDefault="00333E69" w:rsidP="0026341C">
      <w:pPr>
        <w:ind w:left="0" w:right="63" w:firstLine="567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3. Настоящее положение вступает в силу с 1 января 2023 года </w:t>
      </w:r>
      <w:r w:rsidRPr="00333E69">
        <w:rPr>
          <w:rFonts w:ascii="Arial" w:hAnsi="Arial" w:cs="Arial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</w:t>
      </w:r>
      <w:r w:rsidRPr="00333E69">
        <w:rPr>
          <w:rFonts w:ascii="Arial" w:hAnsi="Arial" w:cs="Arial"/>
          <w:sz w:val="24"/>
          <w:szCs w:val="24"/>
        </w:rPr>
        <w:br/>
        <w:t xml:space="preserve">с бюджета муниципального образования городской </w:t>
      </w:r>
      <w:proofErr w:type="gramStart"/>
      <w:r w:rsidRPr="00333E69">
        <w:rPr>
          <w:rFonts w:ascii="Arial" w:hAnsi="Arial" w:cs="Arial"/>
          <w:sz w:val="24"/>
          <w:szCs w:val="24"/>
        </w:rPr>
        <w:t>округ</w:t>
      </w:r>
      <w:proofErr w:type="gramEnd"/>
      <w:r w:rsidRPr="00333E69">
        <w:rPr>
          <w:rFonts w:ascii="Arial" w:hAnsi="Arial" w:cs="Arial"/>
          <w:sz w:val="24"/>
          <w:szCs w:val="24"/>
        </w:rPr>
        <w:t xml:space="preserve"> Люберцы Московской области на 2023 год и на плановый период 2024 и 2025 годов.</w:t>
      </w:r>
    </w:p>
    <w:p w:rsidR="00333E69" w:rsidRPr="00333E69" w:rsidRDefault="00333E69" w:rsidP="0026341C">
      <w:pPr>
        <w:ind w:left="0" w:right="6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33E6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33E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3E6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333E69">
        <w:rPr>
          <w:rFonts w:ascii="Arial" w:hAnsi="Arial" w:cs="Arial"/>
          <w:spacing w:val="-1"/>
          <w:sz w:val="24"/>
          <w:szCs w:val="24"/>
        </w:rPr>
        <w:t>возложить</w:t>
      </w:r>
      <w:r w:rsidRPr="00333E69">
        <w:rPr>
          <w:rFonts w:ascii="Arial" w:hAnsi="Arial" w:cs="Arial"/>
          <w:spacing w:val="-67"/>
          <w:sz w:val="24"/>
          <w:szCs w:val="24"/>
        </w:rPr>
        <w:t xml:space="preserve">                                            </w:t>
      </w:r>
      <w:r w:rsidRPr="00333E69">
        <w:rPr>
          <w:rFonts w:ascii="Arial" w:hAnsi="Arial" w:cs="Arial"/>
          <w:spacing w:val="-67"/>
          <w:sz w:val="24"/>
          <w:szCs w:val="24"/>
        </w:rPr>
        <w:br/>
        <w:t xml:space="preserve">   </w:t>
      </w:r>
      <w:r w:rsidRPr="00333E69">
        <w:rPr>
          <w:rFonts w:ascii="Arial" w:hAnsi="Arial" w:cs="Arial"/>
          <w:sz w:val="24"/>
          <w:szCs w:val="24"/>
        </w:rPr>
        <w:t>на</w:t>
      </w:r>
      <w:r w:rsidRPr="00333E69">
        <w:rPr>
          <w:rFonts w:ascii="Arial" w:hAnsi="Arial" w:cs="Arial"/>
          <w:spacing w:val="-1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заместителя</w:t>
      </w:r>
      <w:r w:rsidRPr="00333E69">
        <w:rPr>
          <w:rFonts w:ascii="Arial" w:hAnsi="Arial" w:cs="Arial"/>
          <w:spacing w:val="-3"/>
          <w:sz w:val="24"/>
          <w:szCs w:val="24"/>
        </w:rPr>
        <w:t xml:space="preserve"> </w:t>
      </w:r>
      <w:r w:rsidRPr="00333E69">
        <w:rPr>
          <w:rFonts w:ascii="Arial" w:hAnsi="Arial" w:cs="Arial"/>
          <w:sz w:val="24"/>
          <w:szCs w:val="24"/>
        </w:rPr>
        <w:t>Главы администрации</w:t>
      </w:r>
      <w:r w:rsidRPr="00333E6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333E69">
        <w:rPr>
          <w:rFonts w:ascii="Arial" w:hAnsi="Arial" w:cs="Arial"/>
          <w:sz w:val="24"/>
          <w:szCs w:val="24"/>
        </w:rPr>
        <w:t>Сырова</w:t>
      </w:r>
      <w:proofErr w:type="spellEnd"/>
      <w:r w:rsidRPr="00333E69">
        <w:rPr>
          <w:rFonts w:ascii="Arial" w:hAnsi="Arial" w:cs="Arial"/>
          <w:sz w:val="24"/>
          <w:szCs w:val="24"/>
        </w:rPr>
        <w:t xml:space="preserve"> А.Н.</w:t>
      </w:r>
    </w:p>
    <w:p w:rsidR="00333E69" w:rsidRPr="00333E69" w:rsidRDefault="00333E69" w:rsidP="00333E69">
      <w:pPr>
        <w:spacing w:line="322" w:lineRule="exact"/>
        <w:ind w:left="0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ind w:left="0"/>
        <w:jc w:val="both"/>
        <w:rPr>
          <w:rFonts w:ascii="Arial" w:hAnsi="Arial" w:cs="Arial"/>
          <w:sz w:val="24"/>
          <w:szCs w:val="24"/>
        </w:rPr>
        <w:sectPr w:rsidR="00333E69" w:rsidRPr="00333E69" w:rsidSect="0026341C">
          <w:pgSz w:w="11905" w:h="16838" w:code="9"/>
          <w:pgMar w:top="1134" w:right="567" w:bottom="1134" w:left="1134" w:header="0" w:footer="0" w:gutter="0"/>
          <w:cols w:space="708"/>
          <w:noEndnote/>
          <w:docGrid w:linePitch="299"/>
        </w:sectPr>
      </w:pPr>
      <w:r w:rsidRPr="00333E69">
        <w:rPr>
          <w:rFonts w:ascii="Arial" w:hAnsi="Arial" w:cs="Arial"/>
          <w:sz w:val="24"/>
          <w:szCs w:val="24"/>
        </w:rPr>
        <w:t>Глава городского округа                                                       В.М. Волков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3E69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Утверждена 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3E69">
        <w:rPr>
          <w:rFonts w:ascii="Arial" w:hAnsi="Arial" w:cs="Arial"/>
          <w:bCs/>
          <w:sz w:val="24"/>
          <w:szCs w:val="24"/>
          <w:lang w:eastAsia="ru-RU"/>
        </w:rPr>
        <w:t>Постановлением администрации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3E69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3E69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3E69">
        <w:rPr>
          <w:rFonts w:ascii="Arial" w:hAnsi="Arial" w:cs="Arial"/>
          <w:bCs/>
          <w:sz w:val="24"/>
          <w:szCs w:val="24"/>
          <w:lang w:eastAsia="ru-RU"/>
        </w:rPr>
        <w:t>Московской области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333E69">
        <w:rPr>
          <w:rFonts w:ascii="Arial" w:hAnsi="Arial" w:cs="Arial"/>
          <w:bCs/>
          <w:sz w:val="24"/>
          <w:szCs w:val="24"/>
          <w:u w:val="single"/>
          <w:lang w:eastAsia="ru-RU"/>
        </w:rPr>
        <w:t>от 31.10.2022 № 4368-ПА</w:t>
      </w: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333E69" w:rsidRPr="00333E69" w:rsidRDefault="00333E69" w:rsidP="00333E6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3E69" w:rsidRPr="00333E69" w:rsidRDefault="00333E69" w:rsidP="00333E69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</w:t>
      </w:r>
      <w:r w:rsidRPr="00333E6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Предпринимательство</w:t>
      </w:r>
      <w:r w:rsidRPr="00333E6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</w:t>
      </w:r>
      <w:r w:rsidRPr="00333E6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Предпринимательство</w:t>
      </w:r>
      <w:r w:rsidRPr="00333E6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392"/>
        <w:gridCol w:w="1393"/>
        <w:gridCol w:w="1392"/>
        <w:gridCol w:w="1393"/>
        <w:gridCol w:w="1392"/>
        <w:gridCol w:w="1393"/>
      </w:tblGrid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 Люберцы Московской области Сыров А.Н.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355" w:type="dxa"/>
            <w:gridSpan w:val="6"/>
            <w:vAlign w:val="center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 w:val="restart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 Достижение устойчиво высоких темпов экономического роста, обеспечивающих повышение уровня жизни жителей Подмосковья.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3.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4.  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 w:val="restart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 Реализация механизмов поддержки субъектов малого и среднего бизнеса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44-ФЗ);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    3. Финансовая и имущественная поддержка субъектов малого и среднего предпринимательства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  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2023 - 2027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1.Инвестиции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 Развитие конкуренции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3. Развитие малого и среднего предпринимательства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 w:val="restart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1. «Инвестиции» - Повышение инвестиционной привлекательности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отраслей, для развития механизмов привлечения внебюджетных сре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дств в стр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оительство объектов местного значения, таких как общественные бани, дома быта, на территории городского округа Люберцы.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 «Развитие конкуренции» - Развитие конкуренции, повышение эффективности, результативности контрактной системы в сфере закупок.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3.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оказать содействие субъектам МСП в виде финансовой и имущественной поддержки.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  <w:vMerge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gridSpan w:val="6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 4.   «Развитие потребительского рынка и услуг на территории муниципального образования Московской области»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 Ликвидация незаконных нестационарных торговых объектов.</w:t>
            </w:r>
          </w:p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392" w:type="dxa"/>
            <w:vAlign w:val="center"/>
          </w:tcPr>
          <w:p w:rsidR="00333E69" w:rsidRPr="00333E69" w:rsidRDefault="00333E69" w:rsidP="00333E6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vAlign w:val="center"/>
          </w:tcPr>
          <w:p w:rsidR="00333E69" w:rsidRPr="00333E69" w:rsidRDefault="00333E69" w:rsidP="00333E6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vAlign w:val="center"/>
          </w:tcPr>
          <w:p w:rsidR="00333E69" w:rsidRPr="00333E69" w:rsidRDefault="00333E69" w:rsidP="00333E6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93" w:type="dxa"/>
            <w:vAlign w:val="center"/>
          </w:tcPr>
          <w:p w:rsidR="00333E69" w:rsidRPr="00333E69" w:rsidRDefault="00333E69" w:rsidP="00333E6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92" w:type="dxa"/>
            <w:vAlign w:val="center"/>
          </w:tcPr>
          <w:p w:rsidR="00333E69" w:rsidRPr="00333E69" w:rsidRDefault="00333E69" w:rsidP="00333E6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93" w:type="dxa"/>
            <w:vAlign w:val="center"/>
          </w:tcPr>
          <w:p w:rsidR="00333E69" w:rsidRPr="00333E69" w:rsidRDefault="00333E69" w:rsidP="00333E69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22100,0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3900,0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4600,0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4600,0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4600,0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4968687,0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989691,0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994546,0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994720,0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994830,0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994900,0</w:t>
            </w:r>
          </w:p>
        </w:tc>
      </w:tr>
      <w:tr w:rsidR="00333E69" w:rsidRPr="00333E69" w:rsidTr="00333E69">
        <w:trPr>
          <w:trHeight w:val="20"/>
          <w:jc w:val="center"/>
        </w:trPr>
        <w:tc>
          <w:tcPr>
            <w:tcW w:w="6510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spacing w:line="270" w:lineRule="atLeast"/>
              <w:ind w:left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333E69">
              <w:rPr>
                <w:rStyle w:val="subp-group"/>
                <w:rFonts w:ascii="Arial" w:hAnsi="Arial" w:cs="Arial"/>
                <w:bCs/>
                <w:color w:val="2E2E2E"/>
                <w:sz w:val="24"/>
                <w:szCs w:val="24"/>
              </w:rPr>
              <w:t>4990787,0</w:t>
            </w:r>
          </w:p>
          <w:p w:rsidR="00333E69" w:rsidRPr="00333E69" w:rsidRDefault="00333E69" w:rsidP="00333E69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993591,0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998946,0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999620,0</w:t>
            </w:r>
          </w:p>
        </w:tc>
        <w:tc>
          <w:tcPr>
            <w:tcW w:w="1392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999430,0</w:t>
            </w:r>
          </w:p>
        </w:tc>
        <w:tc>
          <w:tcPr>
            <w:tcW w:w="1393" w:type="dxa"/>
          </w:tcPr>
          <w:p w:rsidR="00333E69" w:rsidRPr="00333E69" w:rsidRDefault="00333E69" w:rsidP="00333E6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999500,0</w:t>
            </w:r>
          </w:p>
        </w:tc>
      </w:tr>
    </w:tbl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pStyle w:val="a5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сферы реализации муниципальной программы, в том числе формулировка основных проблем в указанной сфере</w:t>
      </w:r>
    </w:p>
    <w:p w:rsidR="00333E69" w:rsidRPr="00333E69" w:rsidRDefault="00333E69" w:rsidP="00333E6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106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E69">
        <w:rPr>
          <w:rFonts w:ascii="Arial" w:hAnsi="Arial" w:cs="Arial"/>
          <w:sz w:val="24"/>
          <w:szCs w:val="24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  его экономики.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Рост инвестиций вызывает увеличение объемов производства, и как следствие, заработной платы.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lastRenderedPageBreak/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городском округе Люберцы Московской области.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На территории городского округа Люберцы Московской области осуществляют свою деятельность 82 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E69">
        <w:rPr>
          <w:rFonts w:ascii="Arial" w:hAnsi="Arial" w:cs="Arial"/>
          <w:sz w:val="24"/>
          <w:szCs w:val="24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333E69">
        <w:rPr>
          <w:rFonts w:ascii="Arial" w:hAnsi="Arial" w:cs="Arial"/>
          <w:sz w:val="24"/>
          <w:szCs w:val="24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E69">
        <w:rPr>
          <w:rFonts w:ascii="Arial" w:hAnsi="Arial" w:cs="Arial"/>
          <w:sz w:val="24"/>
          <w:szCs w:val="24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333E69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 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</w:t>
      </w:r>
      <w:r w:rsidRPr="00333E69">
        <w:rPr>
          <w:rFonts w:ascii="Arial" w:hAnsi="Arial" w:cs="Arial"/>
          <w:sz w:val="24"/>
          <w:szCs w:val="24"/>
        </w:rPr>
        <w:lastRenderedPageBreak/>
        <w:t>оптимальным рыночным ценам при условии наличия конкуренции на рынки данного товара или услуги.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создавать благоприятные условия для развития предприятий малого и среднего бизнеса.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В городском округе ведется планомерная работа по сокращению доли кладбищ, не соответствующих требованиям действующего законодательства. Анализ обращений граждан, по вопросам нарушений прав потребителей указывает на необходимость </w:t>
      </w:r>
      <w:proofErr w:type="gramStart"/>
      <w:r w:rsidRPr="00333E69">
        <w:rPr>
          <w:rFonts w:ascii="Arial" w:hAnsi="Arial" w:cs="Arial"/>
          <w:sz w:val="24"/>
          <w:szCs w:val="24"/>
        </w:rPr>
        <w:t>совершенствования системы защиты прав потребителей</w:t>
      </w:r>
      <w:proofErr w:type="gramEnd"/>
      <w:r w:rsidRPr="00333E69">
        <w:rPr>
          <w:rFonts w:ascii="Arial" w:hAnsi="Arial" w:cs="Arial"/>
          <w:sz w:val="24"/>
          <w:szCs w:val="24"/>
        </w:rPr>
        <w:t xml:space="preserve"> путем скоординированной работы ТОУ «</w:t>
      </w:r>
      <w:proofErr w:type="spellStart"/>
      <w:r w:rsidRPr="00333E69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333E69">
        <w:rPr>
          <w:rFonts w:ascii="Arial" w:hAnsi="Arial" w:cs="Arial"/>
          <w:sz w:val="24"/>
          <w:szCs w:val="24"/>
        </w:rPr>
        <w:t xml:space="preserve">», контрольно-надзорных органов, администрации городского округа Люберцы, что в дальнейшем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позволит сократить  количество нарушений законодательства о защите прав потребителей, развить систему правового просвещения и повысить правовую грамотность потребителей и предпринимателей.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На текущий момент для рынка розничных услуг характерно: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-повышение уровня потребительских запросов и требований к обслуживанию и качеству товаров;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увеличение доли организованной торговли в общем обороте розничной торговли.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</w:t>
      </w:r>
      <w:r w:rsidRPr="00333E69">
        <w:rPr>
          <w:rFonts w:ascii="Arial" w:hAnsi="Arial" w:cs="Arial"/>
          <w:sz w:val="24"/>
          <w:szCs w:val="24"/>
        </w:rPr>
        <w:lastRenderedPageBreak/>
        <w:t>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Существенными проблемами для сферы бытового обслуживания являются: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отсутствие специализированных организаций службы быта (бани);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- недостаточная инвестиционная и инновационная активность субъектов сферы бытового обслуживания.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Программное решение указанных проблем позволит 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pStyle w:val="a5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Прогноз развития соответствующей сферы реализации программы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</w:rPr>
      </w:pP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</w:t>
      </w: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целевого сценария рост валового продукта городского округа Люберцы в 2023-2027  годах должен достигать до 3,1 процента в год.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консервативного сценария предусматриваются средние темпы роста валового продукта городского округа Люберцы в 2023-2027 годах на уровне 1-1,5 процента в год.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 целям и задачам в период с 2023-2027  год обеспечит выход на целевые параметры развития и решения системных задач в сфере промышленности, инвестиций, конкурентной политике и торговли.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 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инерционный сценарий предполагает сохранение среднегодовых </w:t>
      </w:r>
      <w:proofErr w:type="gramStart"/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темпов роста основных показателей социально-экономического развития городского округа</w:t>
      </w:r>
      <w:proofErr w:type="gramEnd"/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Люберцы. 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более низком уровне, чем при программном пути развития (в среднем на 2 процентных пункта).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333E69" w:rsidRPr="00333E69" w:rsidRDefault="00333E69" w:rsidP="00333E69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:rsidR="00333E69" w:rsidRPr="00333E69" w:rsidRDefault="00333E69" w:rsidP="00333E69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Реализация программных мероприятий «Развитие потребительского рынка и услуг» 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333E69" w:rsidRPr="00333E69" w:rsidRDefault="00333E69" w:rsidP="00333E69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E69" w:rsidRPr="00333E69" w:rsidRDefault="00333E69" w:rsidP="00333E69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  <w:sectPr w:rsidR="00333E69" w:rsidRPr="00333E69" w:rsidSect="0026341C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89"/>
      <w:bookmarkEnd w:id="1"/>
      <w:r w:rsidRPr="00333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Целевые показатели муниципальной программы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«Предпринимательство»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Таблица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417"/>
        <w:gridCol w:w="878"/>
        <w:gridCol w:w="879"/>
        <w:gridCol w:w="879"/>
        <w:gridCol w:w="879"/>
        <w:gridCol w:w="879"/>
        <w:gridCol w:w="1768"/>
        <w:gridCol w:w="2202"/>
      </w:tblGrid>
      <w:tr w:rsidR="00333E69" w:rsidRPr="00333E69" w:rsidTr="00333E69"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20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c>
          <w:tcPr>
            <w:tcW w:w="488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8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11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 «Инвестиции»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333E69" w:rsidRPr="00333E69" w:rsidTr="00333E69">
        <w:tc>
          <w:tcPr>
            <w:tcW w:w="14663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4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созданных рабочих мест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Обращени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1,05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Тысяча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1,08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(федеральные проекты) и бюджетных ассигнований федерального бюджета за отчетный период (прошедший год)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Указ ПРФ от 04.02.2021 № 68 «Об оценке эффективности деятельности высших должностных лиц (руководит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  <w:lang w:val="en-US"/>
              </w:rPr>
              <w:t>роцент</w:t>
            </w:r>
            <w:proofErr w:type="spellEnd"/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84,63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87,66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101,42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1,08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75" w:type="dxa"/>
            <w:gridSpan w:val="11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конкуренции»</w:t>
            </w:r>
          </w:p>
        </w:tc>
      </w:tr>
      <w:tr w:rsidR="00333E69" w:rsidRPr="00333E69" w:rsidTr="00333E69">
        <w:tc>
          <w:tcPr>
            <w:tcW w:w="14663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Доля несостоявшихся закупок от общего количества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конкурентных закупок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муниципальных закупок администрации городского 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2,01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обоснованных, частично обоснованных жалоб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Среднее количество участников закупок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2,03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по результатам осуществления закупок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2,04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стоимости контрактов, заключенных с единственным поставщиком по несостоявшимся закупкам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2,05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2,06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Доля достигнутых плановых значений ключевых показателей развития конкуренции на товарных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рынках муниципального образования Московской области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2,01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5" w:type="dxa"/>
            <w:gridSpan w:val="11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3«Развитие малого и среднего предпринимательства»</w:t>
            </w:r>
          </w:p>
        </w:tc>
      </w:tr>
      <w:tr w:rsidR="00333E69" w:rsidRPr="00333E69" w:rsidTr="00333E69">
        <w:tc>
          <w:tcPr>
            <w:tcW w:w="14663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ПРФ от28.04.2008г№ 607 «Об оценке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эффективн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ости деятельности органов местного самоуправления городских округов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и муниципальных районов»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предпринимательства и инвестиций администрации городского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3,02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Указ ПРФ от28.04.2008г. № 607 «Об оценке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и муниципальных районов»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5" w:type="dxa"/>
            <w:gridSpan w:val="11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333E6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33E69" w:rsidRPr="00333E69" w:rsidTr="00333E69">
        <w:tc>
          <w:tcPr>
            <w:tcW w:w="14663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м/1000 человек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1151,3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1142,4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1133,9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4,01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населения предприятиями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мест/1000 человек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35,11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35,31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потребительского рынка, услуг и рекламы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4,51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ест/1000 человек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10,089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10,226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10,217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10,208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10,199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10,191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4,52</w:t>
            </w:r>
          </w:p>
        </w:tc>
      </w:tr>
      <w:tr w:rsidR="00333E69" w:rsidRPr="00333E69" w:rsidTr="00333E69"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4,53</w:t>
            </w:r>
          </w:p>
        </w:tc>
      </w:tr>
    </w:tbl>
    <w:p w:rsidR="00333E69" w:rsidRPr="00333E69" w:rsidRDefault="00333E69" w:rsidP="00333E69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333E69" w:rsidRPr="00333E69" w:rsidRDefault="00333E69" w:rsidP="00333E69">
      <w:pPr>
        <w:spacing w:after="200" w:line="276" w:lineRule="auto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целевых показателей муниципальной программы 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«Предпринимательство»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282"/>
        <w:gridCol w:w="3006"/>
        <w:gridCol w:w="7928"/>
      </w:tblGrid>
      <w:tr w:rsidR="00333E69" w:rsidRPr="00333E69" w:rsidTr="00333E69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33E69" w:rsidRPr="00333E69" w:rsidTr="00333E69">
        <w:trPr>
          <w:trHeight w:val="322"/>
        </w:trPr>
        <w:tc>
          <w:tcPr>
            <w:tcW w:w="209" w:type="pct"/>
            <w:vMerge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333E69">
              <w:rPr>
                <w:rFonts w:ascii="Arial" w:hAnsi="Arial" w:cs="Arial"/>
                <w:sz w:val="24"/>
                <w:szCs w:val="24"/>
                <w:u w:val="single"/>
              </w:rPr>
              <w:t>«Инвестиции»</w:t>
            </w:r>
          </w:p>
        </w:tc>
      </w:tr>
      <w:tr w:rsidR="00333E69" w:rsidRPr="00333E69" w:rsidTr="00333E69">
        <w:trPr>
          <w:trHeight w:val="81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механизмов поддержки субъектов малого и среднего бизнеса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</w:tr>
      <w:tr w:rsidR="00333E69" w:rsidRPr="00333E69" w:rsidTr="00333E69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</w:tr>
      <w:tr w:rsidR="00333E69" w:rsidRPr="00333E69" w:rsidTr="00333E69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</w:tr>
      <w:tr w:rsidR="00333E69" w:rsidRPr="00333E69" w:rsidTr="00333E69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1" w:type="pct"/>
            <w:gridSpan w:val="3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конкуренции»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Подмосковья.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  № 44-ФЗ);</w:t>
            </w: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Доля несостоявшихся закупок от общего количества конкурентных закупок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обоснованных, частично обоснованных жалоб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Среднее количество участников закупок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по результатам осуществления закупок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стоимости контрактов, заключенных с единственным поставщиком по несостоявшимся закупкам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Доля достигнутых плановых значений ключевых показателей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развития конкуренции на товарных рынках муниципального образования Московской области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pct"/>
            <w:gridSpan w:val="3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3«Развитие малого и среднего предпринимательства»</w:t>
            </w:r>
          </w:p>
        </w:tc>
      </w:tr>
      <w:tr w:rsidR="00333E69" w:rsidRPr="00333E69" w:rsidTr="00333E69">
        <w:trPr>
          <w:trHeight w:val="107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Финансовая и имущественная поддержка субъектов малого и среднего предпринимательства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333E69" w:rsidRPr="00333E69" w:rsidTr="00333E69">
        <w:trPr>
          <w:trHeight w:val="1077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333E69" w:rsidRPr="00333E69" w:rsidTr="00333E69">
        <w:trPr>
          <w:trHeight w:val="1077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</w:tr>
      <w:tr w:rsidR="00333E69" w:rsidRPr="00333E69" w:rsidTr="00333E6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 4. «Развитие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333E69" w:rsidRPr="00333E69" w:rsidTr="00333E69">
        <w:trPr>
          <w:trHeight w:val="77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различных видов, типов и способов торговли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Московской области площадью торговых объектов</w:t>
            </w:r>
          </w:p>
        </w:tc>
      </w:tr>
      <w:tr w:rsidR="00333E69" w:rsidRPr="00333E69" w:rsidTr="00333E69">
        <w:trPr>
          <w:trHeight w:val="541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</w:tr>
      <w:tr w:rsidR="00333E69" w:rsidRPr="00333E69" w:rsidTr="00333E69">
        <w:trPr>
          <w:trHeight w:val="562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предприятиями бытового обслуживания</w:t>
            </w:r>
          </w:p>
        </w:tc>
      </w:tr>
      <w:tr w:rsidR="00333E69" w:rsidRPr="00333E69" w:rsidTr="00333E69">
        <w:trPr>
          <w:trHeight w:val="1206"/>
        </w:trPr>
        <w:tc>
          <w:tcPr>
            <w:tcW w:w="209" w:type="pct"/>
            <w:vMerge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3E69" w:rsidRPr="00333E69" w:rsidRDefault="00333E69" w:rsidP="00333E69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«Предпринимательство»</w:t>
      </w:r>
    </w:p>
    <w:p w:rsidR="00333E69" w:rsidRPr="00333E69" w:rsidRDefault="00333E69" w:rsidP="00333E69">
      <w:pPr>
        <w:rPr>
          <w:rFonts w:ascii="Arial" w:hAnsi="Arial" w:cs="Arial"/>
          <w:sz w:val="24"/>
          <w:szCs w:val="24"/>
        </w:rPr>
      </w:pPr>
    </w:p>
    <w:tbl>
      <w:tblPr>
        <w:tblW w:w="15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232"/>
        <w:gridCol w:w="1471"/>
        <w:gridCol w:w="4482"/>
        <w:gridCol w:w="3120"/>
        <w:gridCol w:w="2237"/>
      </w:tblGrid>
      <w:tr w:rsidR="00333E69" w:rsidRPr="00333E69" w:rsidTr="0026341C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1 «Инвестиции»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</w:t>
            </w:r>
            <w:r w:rsidRPr="00333E6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ди</w:t>
            </w:r>
            <w:r w:rsidRPr="00333E69">
              <w:rPr>
                <w:rFonts w:ascii="Arial" w:hAnsi="Arial" w:cs="Arial"/>
                <w:sz w:val="24"/>
                <w:szCs w:val="24"/>
              </w:rPr>
              <w:t>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>Ежеквартально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675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Тысяча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= Ид /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</w:t>
            </w: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>дн</w:t>
            </w:r>
            <w:proofErr w:type="spellEnd"/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</w:t>
            </w: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населения.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2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>Чн</w:t>
            </w:r>
            <w:proofErr w:type="spellEnd"/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Ч= ИЧ / ИЧ (n-1)*100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ИЧ (n-1) - объем инвестиций в основной капитал, за исключением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ИЧ =Ио-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Ифб</w:t>
            </w:r>
            <w:proofErr w:type="spellEnd"/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ИЧ –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Ио – Объем инвестиций, привлеченных в основной капитал 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Объем инвестиций инфраструктурных монополий (федеральные проекты);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Ифб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Объем бюджетных ассигнований федерального бюджета. 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ИЧ (n-1) =Ио (n-1)-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(n-1)-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Ифб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(n-1)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(n-1) – Объем инвестиций инфраструктурных монополий (федеральные проекты) за предыдущий год.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Ифб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(n-1) – Объем бюджетных ассигнований федерального бюджета за предыдущий год.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№ 04302 «Источники финансирования инвестиций в основной капитал по организациям, не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относящимся к субъектам малого предпринимательства».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«Формирование муниципальных программ Московской области» ежемесячно в процентах к предыдущему году.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Доля несостоявшихся закупок от общего количества конкурентных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3BD38" wp14:editId="1F9ED7C0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Днт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единиц;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единиц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обязательствами;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обоснованных, частично обоснованных жалоб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8CE1D" wp14:editId="6888126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  <w:proofErr w:type="gramEnd"/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  <w:proofErr w:type="gramEnd"/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единиц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Среднее количество участников закупок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4D891" wp14:editId="5FD5186D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Y – среднее количество участников состоявшихся закупок, единиц;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Y_k^i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 – 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 – общее количество конкурентных закупок с первым годом финансового обеспечения, совпадающим с годом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расчета показателя, включая закупки,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извещения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по результатам осуществления закупок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E10BD" wp14:editId="74A4FAFF">
                  <wp:extent cx="1828800" cy="504825"/>
                  <wp:effectExtent l="0" t="0" r="0" b="952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Оэдс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НМЦК – сумма начальных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Расчет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осуществляется по следующей формуле: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E0EC1" wp14:editId="7FC907B5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E69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частичного исполнения расторгнутых контрактов, рублей.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В случае отрицательного значения экономии (переменной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), ее значение принимается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равным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нулю.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закупки, осуществляемые в случае, предусмотренном ч. 24 ст. 22 Федерального закона № 44-ФЗ;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закупки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стоимости контрактов, заключенных с единственным поставщиком по несостоявшимся закупкам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BE75A" wp14:editId="208745BC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Дцк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ЦКедп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НМЦК – сумма начальных (максимальных) цен контрактов,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EE3E2" wp14:editId="3AF9214E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Дзсмп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∑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смп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 – 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расчета показателя, включая контракты, заключенные до начала указанного года, рублей;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∑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суб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 –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(подрядчиков, исполнителей).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33E1D" wp14:editId="01B2DAD8">
                  <wp:extent cx="1581150" cy="530856"/>
                  <wp:effectExtent l="0" t="0" r="0" b="317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E6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_______ (реквизиты муниципального правового акта) (далее – ключевых показателей развития конкуренции на товарных рынках);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Информация, предоставляемая структурными подразделениями органа местного самоуправления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Доля среднесписочной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Д(</w:t>
            </w:r>
            <w:proofErr w:type="spellStart"/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сспч@мп+ср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)=(Ч(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ссп@мп+ср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))/(Ч(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сп@ср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 +Ч(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ссп@мп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 )×100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Д(</w:t>
            </w:r>
            <w:proofErr w:type="spellStart"/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сспч@мп+ср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Ч(</w:t>
            </w:r>
            <w:proofErr w:type="spellStart"/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ссп@мп+ср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Ч(</w:t>
            </w:r>
            <w:proofErr w:type="spellStart"/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ссп@ср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Ч(</w:t>
            </w:r>
            <w:proofErr w:type="spellStart"/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ссп@мп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)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микропредприятия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Единый реестр субъектов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малого и среднего предпринимательства Федеральной налоговой службы России; 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 w:hanging="14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Федеральное статистическое наблюдение по формам</w:t>
            </w:r>
            <w:r w:rsidRPr="00333E69">
              <w:rPr>
                <w:rFonts w:ascii="Arial" w:hAnsi="Arial" w:cs="Arial"/>
                <w:sz w:val="24"/>
                <w:szCs w:val="24"/>
              </w:rPr>
              <w:br/>
              <w:t xml:space="preserve">- № П-4 «Сведения о численности и заработной плате работников» </w:t>
            </w:r>
            <w:r w:rsidRPr="00333E69">
              <w:rPr>
                <w:rFonts w:ascii="Arial" w:hAnsi="Arial" w:cs="Arial"/>
                <w:sz w:val="24"/>
                <w:szCs w:val="24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Число субъектов малого и среднего предпринимательства  в расчете на 10 тыс. человек населения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смсп@10000)=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Чсмсп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/Чнас×10000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Единый реестр субъектов малого и среднего предпринимательства Федеральной налоговой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службы России;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м/1000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Оторг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торг /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Чсред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1000, где</w:t>
            </w:r>
          </w:p>
          <w:p w:rsidR="00333E69" w:rsidRPr="00333E69" w:rsidRDefault="00333E69" w:rsidP="00333E69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Оторг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:rsidR="00333E69" w:rsidRPr="00333E69" w:rsidRDefault="00333E69" w:rsidP="00333E69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Sторг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33E69" w:rsidRPr="00333E69" w:rsidRDefault="00333E69" w:rsidP="00333E69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Чсред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33E69" w:rsidRPr="00333E69" w:rsidRDefault="00333E69" w:rsidP="00333E69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20" w:firstLine="2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Д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мест/1000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Чсред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1000, где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 обеспеченность населения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предприятиями общественного питания в отчетном периоде;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Чсред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Росстата о среднегодовой численности населения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ест/1000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Крм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Чсред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1000, где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Крм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Чсред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33E69" w:rsidRPr="00333E69" w:rsidTr="0026341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Озпп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Ообщий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</w:t>
            </w:r>
          </w:p>
          <w:p w:rsidR="00333E69" w:rsidRPr="00333E69" w:rsidRDefault="00333E69" w:rsidP="00333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Озпп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Ообщий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МСЭД, ЕЦУР и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муниципальных образований Московской области о количестве обращений, поступивших в адрес администрации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</w:tbl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E69" w:rsidRPr="00333E69" w:rsidRDefault="00333E69" w:rsidP="00333E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333E69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</w:p>
    <w:p w:rsidR="00333E69" w:rsidRPr="00333E69" w:rsidRDefault="00333E69" w:rsidP="00333E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 xml:space="preserve">        «Предпринимательство»</w:t>
      </w:r>
    </w:p>
    <w:p w:rsidR="00333E69" w:rsidRPr="00333E69" w:rsidRDefault="00333E69" w:rsidP="00333E69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2693"/>
        <w:gridCol w:w="1843"/>
        <w:gridCol w:w="2268"/>
      </w:tblGrid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33E6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E6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E6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749" w:type="dxa"/>
            <w:gridSpan w:val="6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1 «Инвестиции»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Создание новых субъектов малого и среднего бизнеса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Единый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реест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МСП Московской области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оказанных услуг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в центре «Мой бизнес»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в цент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«Мой бизнес»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49" w:type="dxa"/>
            <w:gridSpan w:val="6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общего уровня организации закупок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По факту проведенных мероприятий за текущий год 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50.01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качества закупочной деятельности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факту проведенных мероприятий за текущий год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50.02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доступности конкурентных процедур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факту проведенных мероприятий за текущий год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50.03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экономической эффективности закупок по результатам их осуществления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факту проведенных мероприятий за текущий год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50.04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 по оценке объема закупок у единственного поставщика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факту проведенных мероприятий за текущий год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50.05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факту проведенных мероприятий за текущий год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50.06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Информационный доклад о внедрении стандарта развития конкуренции на территории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подготовленных докладов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52.01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опросов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 факту проведенных опросов за текущий год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52.02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749" w:type="dxa"/>
            <w:gridSpan w:val="6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ьства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20100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Единый реестр МСП Московской области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граждан, зафиксировавших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свой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статус, с учетом введения налогового режима для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, нарастающим итогом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02.03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749" w:type="dxa"/>
            <w:gridSpan w:val="6"/>
            <w:vAlign w:val="center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Площадь торговых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объектов предприятий розничной торговли (нарастающим итогом)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370,8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widowControl w:val="0"/>
              <w:spacing w:after="200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Общее количество площадей торговых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объектов предприятий розничной торговли, осуществляющих деятельность на отчетную дату.</w:t>
            </w:r>
          </w:p>
          <w:p w:rsidR="00333E69" w:rsidRPr="00333E69" w:rsidRDefault="00333E69" w:rsidP="00333E69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01.01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проведенных ярмарок (нарастающим итогом)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widowControl w:val="0"/>
              <w:spacing w:after="200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:rsidR="00333E69" w:rsidRPr="00333E69" w:rsidRDefault="00333E69" w:rsidP="00333E69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пунктов выдачи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интернет-заказов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widowControl w:val="0"/>
              <w:spacing w:after="200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Общее количество пунктов выдачи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интернет-заказов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, осуществляющих деятельность на отчетную дату.</w:t>
            </w:r>
          </w:p>
          <w:p w:rsidR="00333E69" w:rsidRPr="00333E69" w:rsidRDefault="00333E69" w:rsidP="00333E69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Результат считается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К=Кп+2%*Кб, где</w:t>
            </w:r>
          </w:p>
          <w:p w:rsidR="00333E69" w:rsidRPr="00333E69" w:rsidRDefault="00333E69" w:rsidP="00333E69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НТО в текущем году;</w:t>
            </w:r>
          </w:p>
          <w:p w:rsidR="00333E69" w:rsidRPr="00333E69" w:rsidRDefault="00333E69" w:rsidP="00333E69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 – количество НТО в году, предшествовавшему отчетному году, единиц;</w:t>
            </w:r>
          </w:p>
          <w:p w:rsidR="00333E69" w:rsidRPr="00333E69" w:rsidRDefault="00333E69" w:rsidP="00333E69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Кб – количество НТО в базовом году (2022 год), единиц.</w:t>
            </w:r>
          </w:p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договоров, заключенных с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сельскохозяйственными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мест без проведения аукционов на льготных условиях или на безвозмездной основе на отчетную дату.</w:t>
            </w:r>
          </w:p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 (нарастающим итогом)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01.08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посадочных мест на предприятиях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питания (нарастающим итогом)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пос. мест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9838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Общее количество посадочных мест на предприятиях общественного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51.01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рабочих мест на предприятиях бытового обслуживания (нарастающим итогом)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ест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3267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52.01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нарастающим итогом)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Результат считается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52.02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поступивших обращений и жалоб по вопросам защиты прав потребителе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нарастающим итогом)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53.01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3E69" w:rsidRPr="00333E69" w:rsidTr="0026341C">
        <w:tc>
          <w:tcPr>
            <w:tcW w:w="818" w:type="dxa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2125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обращений в суды по вопросам защиты прав потребителей (нарастающим итогом) </w:t>
            </w:r>
          </w:p>
        </w:tc>
        <w:tc>
          <w:tcPr>
            <w:tcW w:w="1701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Общее количество обращений в суды по вопросам защиты прав потребителей на отчетную дату.</w:t>
            </w:r>
          </w:p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:rsidR="00333E69" w:rsidRPr="00333E69" w:rsidRDefault="00333E69" w:rsidP="00333E6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53.02</w:t>
            </w:r>
          </w:p>
        </w:tc>
        <w:tc>
          <w:tcPr>
            <w:tcW w:w="2268" w:type="dxa"/>
          </w:tcPr>
          <w:p w:rsidR="00333E69" w:rsidRPr="00333E69" w:rsidRDefault="00333E69" w:rsidP="00333E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33E69" w:rsidRDefault="00333E69" w:rsidP="00333E69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6341C" w:rsidRDefault="0026341C" w:rsidP="00333E69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  <w:u w:val="single"/>
        </w:rPr>
      </w:pPr>
      <w:r w:rsidRPr="00333E69">
        <w:rPr>
          <w:rFonts w:ascii="Arial" w:hAnsi="Arial" w:cs="Arial"/>
          <w:sz w:val="24"/>
          <w:szCs w:val="24"/>
          <w:u w:val="single"/>
        </w:rPr>
        <w:t>Подпрограммы 1 «Инвестиции»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Таблица 1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850"/>
        <w:gridCol w:w="1564"/>
        <w:gridCol w:w="2298"/>
        <w:gridCol w:w="737"/>
        <w:gridCol w:w="792"/>
        <w:gridCol w:w="309"/>
        <w:gridCol w:w="209"/>
        <w:gridCol w:w="334"/>
        <w:gridCol w:w="185"/>
        <w:gridCol w:w="222"/>
        <w:gridCol w:w="297"/>
        <w:gridCol w:w="111"/>
        <w:gridCol w:w="408"/>
        <w:gridCol w:w="737"/>
        <w:gridCol w:w="814"/>
        <w:gridCol w:w="815"/>
        <w:gridCol w:w="815"/>
        <w:gridCol w:w="1265"/>
      </w:tblGrid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субъектов малого и среднего бизнеса,  единица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74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08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7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7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7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74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42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08.01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стимулирование инвестиционной деятельности на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городских округов Московской области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предпринимательства и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2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оказанных услуг в центре мой бизнес, единица 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Перечень мероприятий Подпрограммы 2 «Развитие конкуренции»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36"/>
        <w:gridCol w:w="6"/>
        <w:gridCol w:w="1535"/>
        <w:gridCol w:w="9"/>
        <w:gridCol w:w="17"/>
        <w:gridCol w:w="2256"/>
        <w:gridCol w:w="714"/>
        <w:gridCol w:w="1168"/>
        <w:gridCol w:w="545"/>
        <w:gridCol w:w="409"/>
        <w:gridCol w:w="410"/>
        <w:gridCol w:w="444"/>
        <w:gridCol w:w="709"/>
        <w:gridCol w:w="853"/>
        <w:gridCol w:w="850"/>
        <w:gridCol w:w="710"/>
        <w:gridCol w:w="7"/>
        <w:gridCol w:w="1270"/>
      </w:tblGrid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50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50.01.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оценки общего уровня организации закупок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общего уровня организации закупок,  единиц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50.02.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оценки качества закупочной деятельности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муниципальных закупок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качества закупочной деятельности,  единиц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50.03.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оценки доступности конкурентных процедур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доступности конкурентных процедур,  единиц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50.04.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экономической эффективности закупок по результатам их осуществления,  единиц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50.05.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объема закупок у единственного поставщика (подрядчика, исполнителя),  единиц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50.06.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оценки уровня поддержки субъектов малого предпринимательства,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 при осуществлении закупок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муниципальных закупок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оценке уровня поддержки субъектов малого предпринимательства, социально ориентированных некоммерческих организаций при осуществлении закупок,  единиц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52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52.01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 исполнения ключевых показателей развития конкуренции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товарных рынках муниципального образования Московской области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Информационный доклад о внедрении стандарта развития конкуренции на территории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Люберцы,  единиц  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52.02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муниципальных закупок администрации городского  округа Люберцы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опросов,  единиц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Перечень мероприятий Подпрограммы 3 «Развитие малого и среднего предпринимательства»</w:t>
      </w: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850"/>
        <w:gridCol w:w="1553"/>
        <w:gridCol w:w="2309"/>
        <w:gridCol w:w="737"/>
        <w:gridCol w:w="1101"/>
        <w:gridCol w:w="10"/>
        <w:gridCol w:w="533"/>
        <w:gridCol w:w="407"/>
        <w:gridCol w:w="408"/>
        <w:gridCol w:w="408"/>
        <w:gridCol w:w="737"/>
        <w:gridCol w:w="814"/>
        <w:gridCol w:w="815"/>
        <w:gridCol w:w="815"/>
        <w:gridCol w:w="1265"/>
      </w:tblGrid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19700,0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 единица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2060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2125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</w:t>
            </w:r>
          </w:p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:rsidR="00333E69" w:rsidRPr="00333E69" w:rsidRDefault="00333E69" w:rsidP="00333E69">
            <w:pPr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граждан, зафиксировавших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статус, с учетом введения налогового режима для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нарастающим итогом,  человек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9" w:rsidRPr="00333E69" w:rsidRDefault="00333E69" w:rsidP="00333E6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3E69" w:rsidRPr="00333E69" w:rsidRDefault="00333E69" w:rsidP="00333E69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  <w:u w:val="single"/>
        </w:rPr>
      </w:pPr>
      <w:r w:rsidRPr="00333E69">
        <w:rPr>
          <w:rFonts w:ascii="Arial" w:hAnsi="Arial" w:cs="Arial"/>
          <w:sz w:val="24"/>
          <w:szCs w:val="24"/>
          <w:u w:val="single"/>
        </w:rPr>
        <w:t>Подпрограммы 4 «Развитие потребительского рынка и услуг на территории муниципального образования Московской области»</w:t>
      </w:r>
    </w:p>
    <w:tbl>
      <w:tblPr>
        <w:tblpPr w:leftFromText="180" w:rightFromText="180" w:vertAnchor="text" w:horzAnchor="margin" w:tblpY="182"/>
        <w:tblW w:w="16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622"/>
        <w:gridCol w:w="2411"/>
        <w:gridCol w:w="770"/>
        <w:gridCol w:w="1093"/>
        <w:gridCol w:w="57"/>
        <w:gridCol w:w="11"/>
        <w:gridCol w:w="336"/>
        <w:gridCol w:w="220"/>
        <w:gridCol w:w="154"/>
        <w:gridCol w:w="271"/>
        <w:gridCol w:w="44"/>
        <w:gridCol w:w="59"/>
        <w:gridCol w:w="323"/>
        <w:gridCol w:w="51"/>
        <w:gridCol w:w="375"/>
        <w:gridCol w:w="285"/>
        <w:gridCol w:w="282"/>
        <w:gridCol w:w="50"/>
        <w:gridCol w:w="587"/>
        <w:gridCol w:w="31"/>
        <w:gridCol w:w="143"/>
        <w:gridCol w:w="464"/>
        <w:gridCol w:w="11"/>
        <w:gridCol w:w="618"/>
        <w:gridCol w:w="1639"/>
        <w:gridCol w:w="618"/>
        <w:gridCol w:w="618"/>
        <w:gridCol w:w="618"/>
      </w:tblGrid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465" w:type="dxa"/>
            <w:gridSpan w:val="21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потребительского рынка на территории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потребительского рынка, услуг и рекламы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3525133,0</w:t>
            </w:r>
          </w:p>
        </w:tc>
        <w:tc>
          <w:tcPr>
            <w:tcW w:w="1093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703519,0</w:t>
            </w:r>
          </w:p>
        </w:tc>
        <w:tc>
          <w:tcPr>
            <w:tcW w:w="1093" w:type="dxa"/>
            <w:gridSpan w:val="7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705384,0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705400,0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705410,0</w:t>
            </w:r>
          </w:p>
        </w:tc>
        <w:tc>
          <w:tcPr>
            <w:tcW w:w="1093" w:type="dxa"/>
            <w:gridSpan w:val="3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705420,0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3525133,0</w:t>
            </w:r>
          </w:p>
        </w:tc>
        <w:tc>
          <w:tcPr>
            <w:tcW w:w="1093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703519,0</w:t>
            </w:r>
          </w:p>
        </w:tc>
        <w:tc>
          <w:tcPr>
            <w:tcW w:w="1093" w:type="dxa"/>
            <w:gridSpan w:val="7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705384,0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705400,0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705410,0</w:t>
            </w:r>
          </w:p>
        </w:tc>
        <w:tc>
          <w:tcPr>
            <w:tcW w:w="1093" w:type="dxa"/>
            <w:gridSpan w:val="3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705420,0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7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5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3525133,00</w:t>
            </w:r>
          </w:p>
        </w:tc>
        <w:tc>
          <w:tcPr>
            <w:tcW w:w="1093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703519,00</w:t>
            </w:r>
          </w:p>
        </w:tc>
        <w:tc>
          <w:tcPr>
            <w:tcW w:w="1093" w:type="dxa"/>
            <w:gridSpan w:val="7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705384,00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705400,00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705410,00</w:t>
            </w:r>
          </w:p>
        </w:tc>
        <w:tc>
          <w:tcPr>
            <w:tcW w:w="1093" w:type="dxa"/>
            <w:gridSpan w:val="3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705420,00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3525133,00</w:t>
            </w:r>
          </w:p>
        </w:tc>
        <w:tc>
          <w:tcPr>
            <w:tcW w:w="1093" w:type="dxa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703519,00</w:t>
            </w:r>
          </w:p>
        </w:tc>
        <w:tc>
          <w:tcPr>
            <w:tcW w:w="1093" w:type="dxa"/>
            <w:gridSpan w:val="7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705384,00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705400,00</w:t>
            </w:r>
          </w:p>
        </w:tc>
        <w:tc>
          <w:tcPr>
            <w:tcW w:w="1093" w:type="dxa"/>
            <w:gridSpan w:val="5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705410,00</w:t>
            </w:r>
          </w:p>
        </w:tc>
        <w:tc>
          <w:tcPr>
            <w:tcW w:w="1093" w:type="dxa"/>
            <w:gridSpan w:val="3"/>
            <w:vAlign w:val="center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705420,00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тыс. кв. м 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4" w:type="dxa"/>
            <w:gridSpan w:val="10"/>
          </w:tcPr>
          <w:p w:rsidR="00333E69" w:rsidRPr="00333E69" w:rsidRDefault="00333E69" w:rsidP="00333E6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gridSpan w:val="2"/>
          </w:tcPr>
          <w:p w:rsidR="00333E69" w:rsidRPr="00333E69" w:rsidRDefault="00333E69" w:rsidP="00333E6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gridSpan w:val="3"/>
          </w:tcPr>
          <w:p w:rsidR="00333E69" w:rsidRPr="00333E69" w:rsidRDefault="00333E69" w:rsidP="00333E6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gridSpan w:val="2"/>
          </w:tcPr>
          <w:p w:rsidR="00333E69" w:rsidRPr="00333E69" w:rsidRDefault="00333E69" w:rsidP="00333E6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50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56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371,05</w:t>
            </w:r>
          </w:p>
        </w:tc>
        <w:tc>
          <w:tcPr>
            <w:tcW w:w="425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426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371,55</w:t>
            </w:r>
          </w:p>
        </w:tc>
        <w:tc>
          <w:tcPr>
            <w:tcW w:w="426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 Мероприятие 01.02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проведенных ярмарок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33" w:type="dxa"/>
            <w:gridSpan w:val="9"/>
          </w:tcPr>
          <w:p w:rsidR="00333E69" w:rsidRPr="00333E69" w:rsidRDefault="00333E69" w:rsidP="00333E69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7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7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9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gridSpan w:val="2"/>
          </w:tcPr>
          <w:p w:rsidR="00333E69" w:rsidRPr="00333E69" w:rsidRDefault="00333E69" w:rsidP="00333E6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gridSpan w:val="3"/>
          </w:tcPr>
          <w:p w:rsidR="00333E69" w:rsidRPr="00333E69" w:rsidRDefault="00333E69" w:rsidP="00333E6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gridSpan w:val="2"/>
          </w:tcPr>
          <w:p w:rsidR="00333E69" w:rsidRPr="00333E69" w:rsidRDefault="00333E69" w:rsidP="00333E6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61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333E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дистанционной торговли  рынка на территории муниципального образования Московской области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19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пунктов выдачи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интернет-заказов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постаматов</w:t>
            </w:r>
            <w:proofErr w:type="spell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19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30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382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нестационарных торговых объектов,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382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9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808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382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382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469"/>
        </w:trPr>
        <w:tc>
          <w:tcPr>
            <w:tcW w:w="488" w:type="dxa"/>
            <w:vMerge w:val="restart"/>
            <w:tcBorders>
              <w:top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37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369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1"/>
          <w:wAfter w:w="618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Основное мероприятие 51 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потребительского рынка, услуг и рекламы  администрации городского округа Люберцы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823611,0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163205,00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165056,0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165100,0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165120,0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165130,0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823611,0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163205,0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165056,0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165100,0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165120,0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165130,0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Мероприятие 51.01  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823611,0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163205,0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165056,0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165100,0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165120,0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165130,0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823611,0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163205,0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165056,0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165100,0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165120,0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165130,0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576"/>
        </w:trPr>
        <w:tc>
          <w:tcPr>
            <w:tcW w:w="488" w:type="dxa"/>
            <w:vMerge w:val="restart"/>
            <w:tcBorders>
              <w:top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посадочных мест на предприятиях общественного питания (нарастающим итогом), пос. мест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24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4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12162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11362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10219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10981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11362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11562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11762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11962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12162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619943,00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122967,00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124106,00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124220,00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124300,00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124350,00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619943,00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122967,00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124106,00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124220,00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124300,00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124350,00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Мероприятие 52.01  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619943,00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122967,00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124106,00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124220,00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124300,00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124350,00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619943,00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122967,00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124106,00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124220,00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124300,00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124350,00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689"/>
        </w:trPr>
        <w:tc>
          <w:tcPr>
            <w:tcW w:w="488" w:type="dxa"/>
            <w:vMerge w:val="restart"/>
            <w:tcBorders>
              <w:top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Количество рабочих мест на предприятиях бытового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обслуживания (нарастающим итогом), раб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33E6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33E69">
              <w:rPr>
                <w:rFonts w:ascii="Arial" w:hAnsi="Arial" w:cs="Arial"/>
                <w:sz w:val="24"/>
                <w:szCs w:val="24"/>
              </w:rPr>
              <w:t>ест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313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313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Мероприятие 52.02  Развитие объектов дорожного и придорожного сервиса (автосервис,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, автомойка,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автокомплекс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33E69">
              <w:rPr>
                <w:rFonts w:ascii="Arial" w:hAnsi="Arial" w:cs="Arial"/>
                <w:sz w:val="24"/>
                <w:szCs w:val="24"/>
              </w:rPr>
              <w:t>автотехцентр</w:t>
            </w:r>
            <w:proofErr w:type="spellEnd"/>
            <w:r w:rsidRPr="00333E69">
              <w:rPr>
                <w:rFonts w:ascii="Arial" w:hAnsi="Arial" w:cs="Arial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921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451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451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Основное мероприятие 53 Участие в организации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региональной системы защиты прав потребителей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потребительского рынка,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689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313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313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 w:val="restart"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Мероприятие 53.02 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Обращения в суды по вопросу защиты прав потребителей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  <w:tcBorders>
              <w:bottom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576"/>
        </w:trPr>
        <w:tc>
          <w:tcPr>
            <w:tcW w:w="488" w:type="dxa"/>
            <w:vMerge w:val="restart"/>
            <w:tcBorders>
              <w:top w:val="nil"/>
            </w:tcBorders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622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  <w:gridSpan w:val="4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  <w:gridSpan w:val="8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17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3E69" w:rsidRPr="00333E69" w:rsidTr="0026341C">
        <w:trPr>
          <w:gridAfter w:val="3"/>
          <w:wAfter w:w="1854" w:type="dxa"/>
          <w:trHeight w:val="24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7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44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gridSpan w:val="4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trHeight w:val="20"/>
        </w:trPr>
        <w:tc>
          <w:tcPr>
            <w:tcW w:w="488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2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4968687,0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989691,0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994546,0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994720,0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994830,0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994900,0</w:t>
            </w:r>
          </w:p>
        </w:tc>
        <w:tc>
          <w:tcPr>
            <w:tcW w:w="1639" w:type="dxa"/>
            <w:vMerge w:val="restart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333E69" w:rsidRPr="00333E69" w:rsidRDefault="00333E69" w:rsidP="00333E69">
            <w:pPr>
              <w:spacing w:after="20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26341C">
        <w:trPr>
          <w:gridAfter w:val="3"/>
          <w:wAfter w:w="1854" w:type="dxa"/>
          <w:trHeight w:val="20"/>
        </w:trPr>
        <w:tc>
          <w:tcPr>
            <w:tcW w:w="488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2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4968687,0</w:t>
            </w:r>
          </w:p>
        </w:tc>
        <w:tc>
          <w:tcPr>
            <w:tcW w:w="2994" w:type="dxa"/>
            <w:gridSpan w:val="1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989691,0</w:t>
            </w:r>
          </w:p>
        </w:tc>
        <w:tc>
          <w:tcPr>
            <w:tcW w:w="617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994546,0</w:t>
            </w:r>
          </w:p>
        </w:tc>
        <w:tc>
          <w:tcPr>
            <w:tcW w:w="618" w:type="dxa"/>
            <w:gridSpan w:val="2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994720,0</w:t>
            </w:r>
          </w:p>
        </w:tc>
        <w:tc>
          <w:tcPr>
            <w:tcW w:w="618" w:type="dxa"/>
            <w:gridSpan w:val="3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994830,0</w:t>
            </w:r>
          </w:p>
        </w:tc>
        <w:tc>
          <w:tcPr>
            <w:tcW w:w="618" w:type="dxa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994900,0</w:t>
            </w:r>
          </w:p>
        </w:tc>
        <w:tc>
          <w:tcPr>
            <w:tcW w:w="1639" w:type="dxa"/>
            <w:vMerge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33E69">
        <w:rPr>
          <w:rFonts w:ascii="Arial" w:hAnsi="Arial" w:cs="Arial"/>
          <w:sz w:val="24"/>
          <w:szCs w:val="24"/>
        </w:rPr>
        <w:t>Таблица 2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E69">
        <w:rPr>
          <w:rFonts w:ascii="Arial" w:eastAsia="Times New Roman" w:hAnsi="Arial" w:cs="Arial"/>
          <w:sz w:val="24"/>
          <w:szCs w:val="24"/>
          <w:lang w:eastAsia="ru-RU"/>
        </w:rPr>
        <w:t>«Предпринимательство» с задачами, на достижение которых направлено мероприятие</w:t>
      </w:r>
    </w:p>
    <w:p w:rsidR="00333E69" w:rsidRPr="00333E69" w:rsidRDefault="00333E69" w:rsidP="00333E6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33E69" w:rsidRPr="00333E69" w:rsidTr="00333E69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333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33E69" w:rsidRPr="00333E69" w:rsidTr="00333E69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1 «Инвестиции»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08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конкуренции»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конкурентной среды в рамках Федерального закона от 05.04.2013 № 44-ФЗ "О </w:t>
            </w: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(далее - Федеральный закон  № 44-ФЗ)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52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Развитие малого и среднего предпринимательства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и имущественная поддержка субъектов малого и среднего предпринимательства.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5" w:type="pct"/>
            <w:gridSpan w:val="2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333E69">
              <w:rPr>
                <w:rFonts w:ascii="Arial" w:hAnsi="Arial" w:cs="Arial"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 xml:space="preserve">Основное мероприятие 51  Развитие сферы </w:t>
            </w:r>
            <w:r w:rsidRPr="00333E69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 питания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333E69" w:rsidRPr="00333E69" w:rsidTr="00333E6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95" w:type="pct"/>
            <w:shd w:val="clear" w:color="auto" w:fill="auto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hAnsi="Arial" w:cs="Arial"/>
                <w:sz w:val="24"/>
                <w:szCs w:val="24"/>
              </w:rP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333E69" w:rsidRPr="00333E69" w:rsidRDefault="00333E69" w:rsidP="0033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</w:tbl>
    <w:p w:rsidR="00333E69" w:rsidRPr="00333E69" w:rsidRDefault="00333E69" w:rsidP="00333E69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530" w:rsidRPr="00333E69" w:rsidRDefault="003D6530" w:rsidP="00333E69">
      <w:pPr>
        <w:ind w:left="0"/>
        <w:rPr>
          <w:rFonts w:ascii="Arial" w:hAnsi="Arial" w:cs="Arial"/>
          <w:sz w:val="24"/>
          <w:szCs w:val="24"/>
        </w:rPr>
      </w:pPr>
    </w:p>
    <w:sectPr w:rsidR="003D6530" w:rsidRPr="00333E69" w:rsidSect="0026341C">
      <w:pgSz w:w="16838" w:h="11906" w:orient="landscape"/>
      <w:pgMar w:top="1134" w:right="567" w:bottom="1134" w:left="1134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5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9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9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7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0"/>
  </w:num>
  <w:num w:numId="21">
    <w:abstractNumId w:val="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D2"/>
    <w:rsid w:val="0026341C"/>
    <w:rsid w:val="00333E69"/>
    <w:rsid w:val="003D6530"/>
    <w:rsid w:val="00403ED2"/>
    <w:rsid w:val="005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33E69"/>
    <w:pPr>
      <w:widowControl w:val="0"/>
      <w:autoSpaceDE w:val="0"/>
      <w:autoSpaceDN w:val="0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333E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">
    <w:name w:val="Char Char Знак Знак Char Char"/>
    <w:basedOn w:val="a"/>
    <w:rsid w:val="00333E6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333E69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333E6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333E69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3E69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33E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E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3E6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33E6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33E69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3E6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33E6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333E6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3E6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33E6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333E69"/>
    <w:rPr>
      <w:rFonts w:ascii="Tahoma" w:hAnsi="Tahoma" w:cs="Tahoma"/>
      <w:sz w:val="16"/>
      <w:szCs w:val="16"/>
    </w:rPr>
  </w:style>
  <w:style w:type="character" w:customStyle="1" w:styleId="1">
    <w:name w:val="Схема документа Знак1"/>
    <w:basedOn w:val="a0"/>
    <w:uiPriority w:val="99"/>
    <w:semiHidden/>
    <w:rsid w:val="00333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E69"/>
  </w:style>
  <w:style w:type="paragraph" w:styleId="af">
    <w:name w:val="Body Text"/>
    <w:link w:val="af0"/>
    <w:rsid w:val="00333E6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3E6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333E69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333E69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333E69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333E69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333E6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333E69"/>
    <w:rPr>
      <w:b/>
      <w:bCs/>
    </w:rPr>
  </w:style>
  <w:style w:type="character" w:customStyle="1" w:styleId="af5">
    <w:name w:val="Основной текст_"/>
    <w:basedOn w:val="a0"/>
    <w:link w:val="10"/>
    <w:locked/>
    <w:rsid w:val="00333E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333E69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33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33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33E69"/>
    <w:pPr>
      <w:widowControl w:val="0"/>
      <w:autoSpaceDE w:val="0"/>
      <w:autoSpaceDN w:val="0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333E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">
    <w:name w:val="Char Char Знак Знак Char Char"/>
    <w:basedOn w:val="a"/>
    <w:rsid w:val="00333E6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333E69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333E6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333E69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3E69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33E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E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3E6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33E6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33E69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3E6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33E6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333E6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3E6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33E6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333E69"/>
    <w:rPr>
      <w:rFonts w:ascii="Tahoma" w:hAnsi="Tahoma" w:cs="Tahoma"/>
      <w:sz w:val="16"/>
      <w:szCs w:val="16"/>
    </w:rPr>
  </w:style>
  <w:style w:type="character" w:customStyle="1" w:styleId="1">
    <w:name w:val="Схема документа Знак1"/>
    <w:basedOn w:val="a0"/>
    <w:uiPriority w:val="99"/>
    <w:semiHidden/>
    <w:rsid w:val="00333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E69"/>
  </w:style>
  <w:style w:type="paragraph" w:styleId="af">
    <w:name w:val="Body Text"/>
    <w:link w:val="af0"/>
    <w:rsid w:val="00333E6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3E6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333E69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333E69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333E69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333E69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333E6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333E69"/>
    <w:rPr>
      <w:b/>
      <w:bCs/>
    </w:rPr>
  </w:style>
  <w:style w:type="character" w:customStyle="1" w:styleId="af5">
    <w:name w:val="Основной текст_"/>
    <w:basedOn w:val="a0"/>
    <w:link w:val="10"/>
    <w:locked/>
    <w:rsid w:val="00333E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333E69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33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33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74</Pages>
  <Words>13480</Words>
  <Characters>76839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2022-11-09T11:00:00Z</dcterms:created>
  <dcterms:modified xsi:type="dcterms:W3CDTF">2022-11-09T11:23:00Z</dcterms:modified>
</cp:coreProperties>
</file>